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rPr>
      </w:pP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rPr>
      </w:pPr>
    </w:p>
    <w:p>
      <w:pPr>
        <w:pageBreakBefore w:val="0"/>
        <w:kinsoku/>
        <w:wordWrap/>
        <w:overflowPunct/>
        <w:topLinePunct w:val="0"/>
        <w:bidi w:val="0"/>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冷链物流发展示范市建设</w:t>
      </w:r>
      <w:r>
        <w:rPr>
          <w:rFonts w:hint="eastAsia" w:ascii="Times New Roman" w:hAnsi="Times New Roman" w:eastAsia="方正小标宋简体" w:cs="Times New Roman"/>
          <w:sz w:val="44"/>
          <w:szCs w:val="44"/>
          <w:lang w:eastAsia="zh-CN"/>
        </w:rPr>
        <w:t>申报</w:t>
      </w:r>
      <w:r>
        <w:rPr>
          <w:rFonts w:hint="default" w:ascii="Times New Roman" w:hAnsi="Times New Roman" w:eastAsia="方正小标宋简体" w:cs="Times New Roman"/>
          <w:sz w:val="44"/>
          <w:szCs w:val="44"/>
        </w:rPr>
        <w:t>指南</w:t>
      </w:r>
    </w:p>
    <w:p>
      <w:pPr>
        <w:pageBreakBefore w:val="0"/>
        <w:kinsoku/>
        <w:wordWrap/>
        <w:overflowPunct/>
        <w:topLinePunct w:val="0"/>
        <w:bidi w:val="0"/>
        <w:spacing w:line="600" w:lineRule="exact"/>
        <w:jc w:val="center"/>
        <w:rPr>
          <w:rFonts w:hint="default" w:ascii="Times New Roman" w:hAnsi="Times New Roman" w:eastAsia="方正小标宋简体" w:cs="Times New Roman"/>
          <w:sz w:val="44"/>
          <w:szCs w:val="44"/>
        </w:rPr>
      </w:pP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b w:val="0"/>
          <w:bCs w:val="0"/>
          <w:snapToGrid/>
          <w:color w:val="auto"/>
          <w:kern w:val="0"/>
          <w:sz w:val="32"/>
          <w:szCs w:val="32"/>
          <w:highlight w:val="none"/>
          <w:lang w:val="en-US" w:eastAsia="zh-CN" w:bidi="ar-SA"/>
        </w:rPr>
      </w:pPr>
      <w:r>
        <w:rPr>
          <w:rFonts w:hint="default" w:ascii="Times New Roman" w:hAnsi="Times New Roman" w:eastAsia="仿宋_GB2312" w:cs="Times New Roman"/>
          <w:sz w:val="32"/>
          <w:szCs w:val="32"/>
        </w:rPr>
        <w:t>为深入贯彻落实《“十四五”冷链物流发展规划》《国家骨干冷链物流基地建设方案》精神和省委省政府决策部署，推进冷链物流高质量发展，减少农产品产后损失和食品流通浪费，扩大高品质市场供给，助力乡村振兴，深入实施扩大内需战略和促进形成强大国内市场，健全生鲜农产品质量安全体系，</w:t>
      </w:r>
      <w:r>
        <w:rPr>
          <w:rFonts w:hint="default" w:ascii="Times New Roman" w:hAnsi="Times New Roman" w:eastAsia="仿宋_GB2312" w:cs="Times New Roman"/>
          <w:b w:val="0"/>
          <w:bCs w:val="0"/>
          <w:snapToGrid/>
          <w:color w:val="auto"/>
          <w:kern w:val="0"/>
          <w:sz w:val="32"/>
          <w:szCs w:val="32"/>
          <w:highlight w:val="none"/>
          <w:lang w:val="en-US" w:eastAsia="zh-CN" w:bidi="ar-SA"/>
        </w:rPr>
        <w:t>拟在全省选取2个市（州）作为冷链物流体系试点，具体如下。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一、建设目标</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到2025年底，通过冷链物流体系</w:t>
      </w:r>
      <w:r>
        <w:rPr>
          <w:rFonts w:hint="default" w:ascii="Times New Roman" w:hAnsi="Times New Roman" w:eastAsia="仿宋_GB2312" w:cs="Times New Roman"/>
          <w:sz w:val="32"/>
          <w:szCs w:val="32"/>
          <w:lang w:eastAsia="zh-CN"/>
        </w:rPr>
        <w:t>试点</w:t>
      </w:r>
      <w:r>
        <w:rPr>
          <w:rFonts w:hint="default" w:ascii="Times New Roman" w:hAnsi="Times New Roman" w:eastAsia="仿宋_GB2312" w:cs="Times New Roman"/>
          <w:sz w:val="32"/>
          <w:szCs w:val="32"/>
        </w:rPr>
        <w:t>建设，推动形成布局合理、协同联动、开放共享的四川冷链物流骨干通道网络，</w:t>
      </w:r>
      <w:r>
        <w:rPr>
          <w:rFonts w:hint="default" w:ascii="Times New Roman" w:hAnsi="Times New Roman" w:eastAsia="仿宋_GB2312" w:cs="Times New Roman"/>
          <w:sz w:val="32"/>
          <w:szCs w:val="32"/>
          <w:lang w:eastAsia="zh-CN"/>
        </w:rPr>
        <w:t>试点</w:t>
      </w:r>
      <w:r>
        <w:rPr>
          <w:rFonts w:hint="default" w:ascii="Times New Roman" w:hAnsi="Times New Roman" w:eastAsia="仿宋_GB2312" w:cs="Times New Roman"/>
          <w:sz w:val="32"/>
          <w:szCs w:val="32"/>
        </w:rPr>
        <w:t>市调节农产品跨季节供需、支撑冷链产品跨区域流通的能力和效率明显提高，产地低温处理率和冷链流通率超全省平均水平，基本建成冷链全程可追溯体系，支撑全省建设绿色可靠、安全智慧、开放共享的冷链物流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二、建设要求</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基本原则</w:t>
      </w:r>
    </w:p>
    <w:p>
      <w:pPr>
        <w:pageBreakBefore w:val="0"/>
        <w:kinsoku/>
        <w:wordWrap/>
        <w:overflowPunct/>
        <w:topLinePunct w:val="0"/>
        <w:bidi w:val="0"/>
        <w:spacing w:line="600" w:lineRule="exact"/>
        <w:ind w:firstLine="640" w:firstLineChars="200"/>
        <w:rPr>
          <w:rFonts w:hint="eastAsia" w:ascii="Times New Roman" w:hAnsi="Times New Roman" w:eastAsia="仿宋_GB2312" w:cs="Times New Roman"/>
          <w:sz w:val="32"/>
          <w:szCs w:val="32"/>
          <w:lang w:eastAsia="zh-CN"/>
        </w:rPr>
        <w:sectPr>
          <w:headerReference r:id="rId3" w:type="default"/>
          <w:footerReference r:id="rId4" w:type="default"/>
          <w:pgSz w:w="11900" w:h="16950"/>
          <w:pgMar w:top="1871" w:right="1531" w:bottom="1417" w:left="1531" w:header="0" w:footer="1083" w:gutter="0"/>
          <w:pgNumType w:fmt="decimal" w:start="1"/>
          <w:cols w:space="720" w:num="1"/>
          <w:docGrid w:linePitch="1" w:charSpace="0"/>
        </w:sectPr>
      </w:pPr>
      <w:r>
        <w:rPr>
          <w:rFonts w:hint="default" w:ascii="Times New Roman" w:hAnsi="Times New Roman" w:eastAsia="仿宋_GB2312" w:cs="Times New Roman"/>
          <w:sz w:val="32"/>
          <w:szCs w:val="32"/>
        </w:rPr>
        <w:t>坚持以企业为主体、市场为导向、政府为引导</w:t>
      </w:r>
      <w:r>
        <w:rPr>
          <w:rFonts w:hint="eastAsia" w:ascii="Times New Roman" w:hAnsi="Times New Roman" w:eastAsia="仿宋_GB2312" w:cs="Times New Roman"/>
          <w:sz w:val="32"/>
          <w:szCs w:val="32"/>
          <w:lang w:eastAsia="zh-CN"/>
        </w:rPr>
        <w:t>，以已建、在建和拟建的大型冷链物流园区、区域性农产品批发市场、农产品</w:t>
      </w:r>
    </w:p>
    <w:p>
      <w:pPr>
        <w:pageBreakBefore w:val="0"/>
        <w:kinsoku/>
        <w:wordWrap/>
        <w:overflowPunct/>
        <w:topLinePunct w:val="0"/>
        <w:bidi w:val="0"/>
        <w:spacing w:line="600" w:lineRule="exac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加工配送中心、冷链相关指定监管场地等重点项目为核心，以存量为主、增量为辅，整合优化冷链存量资源，</w:t>
      </w:r>
      <w:r>
        <w:rPr>
          <w:rFonts w:hint="default" w:ascii="Times New Roman" w:hAnsi="Times New Roman" w:eastAsia="仿宋_GB2312" w:cs="Times New Roman"/>
          <w:sz w:val="32"/>
          <w:szCs w:val="32"/>
        </w:rPr>
        <w:t>构建内外联通的冷链物流骨干通道网络为目标，探索打造规模化、集约化、网络化、绿色化的城市冷链物流体系</w:t>
      </w:r>
      <w:r>
        <w:rPr>
          <w:rFonts w:hint="eastAsia" w:ascii="Times New Roman" w:hAnsi="Times New Roman" w:eastAsia="仿宋_GB2312" w:cs="Times New Roman"/>
          <w:sz w:val="32"/>
          <w:szCs w:val="32"/>
          <w:lang w:eastAsia="zh-CN"/>
        </w:rPr>
        <w:t>，支持由单一主体或多个主体组成的联盟（需明确牵头单位）作为建设运营主体，通过企业联盟或打破区域限制合作等模式统筹推进冷链物流体系建设和运营管理。</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lang w:eastAsia="zh-CN"/>
        </w:rPr>
      </w:pPr>
      <w:r>
        <w:rPr>
          <w:rFonts w:hint="eastAsia"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lang w:eastAsia="zh-CN"/>
        </w:rPr>
        <w:t>总体布局</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按照全省经济产业、综合交通、现代物流“十四五”规划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以构建“一干多支、五区协同”发展新格局为出发点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同时与国家骨干冷链物流基地建设形成设施互补、功能互补、空间互补、业态互补，</w:t>
      </w:r>
      <w:r>
        <w:rPr>
          <w:rFonts w:hint="default" w:ascii="Times New Roman" w:hAnsi="Times New Roman" w:eastAsia="仿宋_GB2312" w:cs="Times New Roman"/>
          <w:sz w:val="32"/>
          <w:szCs w:val="32"/>
          <w:lang w:val="en-US" w:eastAsia="zh-CN"/>
        </w:rPr>
        <w:t>通过加快完善冷链设施网络、推动冷链物流模式创新和提升冷链物流服务品质等手段进行标准健全、功能完善、上下游有效衔接的冷链物流服务体系建设，重点解决冷链基础设施不足等问题，基本形成保障农产品、食品、医药等消费品在生产、储存运输、销售、到消费前各个环节中始终处于规定的温度区间的整体布局。</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（三）建设内容</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支持市（州）按国家有关要求建设区域性冷链物流中心，构建城市冷链物流三级节点体系；强化冷链运输一体化运作，推动冷链运输设施设备升级，发展冷链多式联运；加强冷链服务体系建设，培育一批专业冷链物流主体；开展冷链物流标准化体系建设；发挥冷链物流民生保障作用，建设应急冷链物流体系。</w:t>
      </w:r>
    </w:p>
    <w:p>
      <w:pPr>
        <w:pageBreakBefore w:val="0"/>
        <w:kinsoku/>
        <w:wordWrap/>
        <w:overflowPunct/>
        <w:topLinePunct w:val="0"/>
        <w:bidi w:val="0"/>
        <w:spacing w:line="6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冷链物流发展示范市建设</w:t>
      </w:r>
      <w:r>
        <w:rPr>
          <w:rFonts w:hint="eastAsia" w:ascii="楷体_GB2312" w:hAnsi="楷体_GB2312" w:eastAsia="楷体_GB2312" w:cs="楷体_GB2312"/>
          <w:sz w:val="28"/>
          <w:szCs w:val="28"/>
          <w:lang w:eastAsia="zh-CN"/>
        </w:rPr>
        <w:t>导</w:t>
      </w:r>
      <w:r>
        <w:rPr>
          <w:rFonts w:hint="eastAsia" w:ascii="楷体_GB2312" w:hAnsi="楷体_GB2312" w:eastAsia="楷体_GB2312" w:cs="楷体_GB2312"/>
          <w:sz w:val="28"/>
          <w:szCs w:val="28"/>
        </w:rPr>
        <w:t>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2902"/>
        <w:gridCol w:w="4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Align w:val="center"/>
          </w:tcPr>
          <w:p>
            <w:pPr>
              <w:pageBreakBefore w:val="0"/>
              <w:kinsoku/>
              <w:wordWrap/>
              <w:overflowPunct/>
              <w:topLinePunct w:val="0"/>
              <w:bidi w:val="0"/>
              <w:spacing w:line="600" w:lineRule="exact"/>
              <w:jc w:val="center"/>
              <w:rPr>
                <w:rFonts w:hint="eastAsia" w:ascii="黑体" w:hAnsi="黑体" w:eastAsia="黑体" w:cs="黑体"/>
                <w:sz w:val="28"/>
                <w:szCs w:val="28"/>
              </w:rPr>
            </w:pPr>
            <w:r>
              <w:rPr>
                <w:rFonts w:hint="eastAsia" w:ascii="黑体" w:hAnsi="黑体" w:eastAsia="黑体" w:cs="黑体"/>
                <w:sz w:val="28"/>
                <w:szCs w:val="28"/>
              </w:rPr>
              <w:t>类别</w:t>
            </w:r>
          </w:p>
        </w:tc>
        <w:tc>
          <w:tcPr>
            <w:tcW w:w="2902" w:type="dxa"/>
            <w:vAlign w:val="center"/>
          </w:tcPr>
          <w:p>
            <w:pPr>
              <w:pageBreakBefore w:val="0"/>
              <w:kinsoku/>
              <w:wordWrap/>
              <w:overflowPunct/>
              <w:topLinePunct w:val="0"/>
              <w:bidi w:val="0"/>
              <w:spacing w:line="600" w:lineRule="exact"/>
              <w:jc w:val="center"/>
              <w:rPr>
                <w:rFonts w:hint="eastAsia" w:ascii="黑体" w:hAnsi="黑体" w:eastAsia="黑体" w:cs="黑体"/>
                <w:sz w:val="28"/>
                <w:szCs w:val="28"/>
              </w:rPr>
            </w:pPr>
            <w:r>
              <w:rPr>
                <w:rFonts w:hint="eastAsia" w:ascii="黑体" w:hAnsi="黑体" w:eastAsia="黑体" w:cs="黑体"/>
                <w:sz w:val="28"/>
                <w:szCs w:val="28"/>
              </w:rPr>
              <w:t>建设内容</w:t>
            </w:r>
          </w:p>
        </w:tc>
        <w:tc>
          <w:tcPr>
            <w:tcW w:w="4648" w:type="dxa"/>
            <w:vAlign w:val="center"/>
          </w:tcPr>
          <w:p>
            <w:pPr>
              <w:pageBreakBefore w:val="0"/>
              <w:kinsoku/>
              <w:wordWrap/>
              <w:overflowPunct/>
              <w:topLinePunct w:val="0"/>
              <w:bidi w:val="0"/>
              <w:spacing w:line="600" w:lineRule="exact"/>
              <w:jc w:val="center"/>
              <w:rPr>
                <w:rFonts w:hint="eastAsia" w:ascii="黑体" w:hAnsi="黑体" w:eastAsia="黑体" w:cs="黑体"/>
                <w:sz w:val="28"/>
                <w:szCs w:val="28"/>
              </w:rPr>
            </w:pPr>
            <w:r>
              <w:rPr>
                <w:rFonts w:hint="eastAsia" w:ascii="黑体" w:hAnsi="黑体" w:eastAsia="黑体" w:cs="黑体"/>
                <w:sz w:val="28"/>
                <w:szCs w:val="28"/>
              </w:rPr>
              <w:t>建设标准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冷链物流三级节点体系建设</w:t>
            </w:r>
          </w:p>
        </w:tc>
        <w:tc>
          <w:tcPr>
            <w:tcW w:w="2902"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按“区域性冷链物流中心-产销冷链集配中心-产销终端服务站”构建三级冷链物流节点体系，明确各节点选址和定位，各节点之间的功能分工、中转集散、协同联动模式清晰，以及政府在构建三级节点体系中的落地保障措施具备实操性。</w:t>
            </w:r>
          </w:p>
        </w:tc>
        <w:tc>
          <w:tcPr>
            <w:tcW w:w="464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域性冷链物流中心原则上一个城市只有一个，占地面积不低于100亩（有清晰的四至范围），冷库库容不少于5万立方米，冷链物流相关设施占比达到50%以上，提供冷冻冷藏、冷链干线运输和区域分拨等服务以及供应链管理等增值服务。产地和销地集配中心数量以3-5个为佳，产地集配中心可提供集货、预冷、分选、加工、冷藏、发货、检测、收储、信息等功能，销地集配中心可提供仓储、分拣、包装、配送、半成品加工等服务，并开展城市共同配送业务。产销终端服务站聚焦农产品产地“最先一公里”和城市消费“最后一公里”，服务站选址应靠近农产品主产地和主销地，以多行业（供销社、邮政快递企业、商超便利店等）合作共建和应用新技术、新设备的服务站点为最优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冷链运输一体化建设</w:t>
            </w:r>
          </w:p>
        </w:tc>
        <w:tc>
          <w:tcPr>
            <w:tcW w:w="2902"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推动冷链物流干线运输规模化发展，提高冷链物流信息共享水平；构建区域冷链物流服务网络，促进干支有机衔接，强化物流企业综合服务能力。</w:t>
            </w:r>
          </w:p>
        </w:tc>
        <w:tc>
          <w:tcPr>
            <w:tcW w:w="464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依托区域性冷链物流中心，开展公路冷链专线、铁路冷链班列等规模化冷链物流干线运输，完善冷链物流干线运输配套设施，同国家骨干冷链物流基地、国家物流枢纽间开行冷链运输班车、班列、航线，有条件的城市发展国际冷链干线运输业务。支持平台型企业搭建冷链领域的第三方数字化服务平台。构建干支线运输和两端集配一体化运作的区域冷链物流服务网络。鼓励冷链物流企业延伸业务链条，强化综合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冷链主体培育</w:t>
            </w:r>
          </w:p>
        </w:tc>
        <w:tc>
          <w:tcPr>
            <w:tcW w:w="2902"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培育冷链物流骨干企业，发展公共型服务主体；推动主体向一体化服务和网络化布局发展；支持传统企业转型升级；加强专业人才引育。</w:t>
            </w:r>
          </w:p>
        </w:tc>
        <w:tc>
          <w:tcPr>
            <w:tcW w:w="464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支持第三方冷链物流企业发展，鼓励企业通过兼并重组、战略合作等方式优化整合资源，拓展服务网络，培育龙头冷链物流企业，提升市场集中度。推动本地传统冷链物流企业转型，鼓励企业依托上下游产业链延伸业务范围，逐渐培育成为集采购、流通加工、仓储配送于一体的冷链供应链服务企业。鼓励大型企业建设国际、国内冷链基础设施网络。支持传统农批市场增加信息服务功能，创新交易模式。鼓励冷链物流地产企业开展集中配送、集中采购业务，逐步向第三方、复合型冷链物流企业转型。制定冷链专业人才认定办法和职业技能鉴定补贴等政策，加强人才培养和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冷链设施设备升级</w:t>
            </w:r>
          </w:p>
        </w:tc>
        <w:tc>
          <w:tcPr>
            <w:tcW w:w="2902"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严格冷藏车市场准入条件，推进冷链运输设备绿色化、专业化发展。</w:t>
            </w:r>
          </w:p>
        </w:tc>
        <w:tc>
          <w:tcPr>
            <w:tcW w:w="464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建立动态的市级冷藏车市场准入条件，制定非标准化冷藏车退出计划和机制，出台冷藏车监管细则。实施冷链物流绿色改造工程，支持龙头企业集中更换新能源冷藏车、环保型制冷剂等制冷设备和设施。鼓励有条件的企业使用多温层冷藏车、铁路冷藏车和冷链集装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冷链标准化建设</w:t>
            </w:r>
          </w:p>
        </w:tc>
        <w:tc>
          <w:tcPr>
            <w:tcW w:w="2902"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制定冷链物流标准化体系；开展标准化试点工作；加强标准体系应用监管。</w:t>
            </w:r>
          </w:p>
        </w:tc>
        <w:tc>
          <w:tcPr>
            <w:tcW w:w="464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市（州）在相关规划和顶层设计中，根据产业发展现状和趋势，制定冷链标准目录清单，以“协会+院校+龙头企业”的模式开展冷链物流标准化体系建设工作；选取一批重点企业、冷链主要节点建设运营企业、大型农批市场经营方、连锁商超等企业作为冷链物流标准化试点单位，开展试点工作；探索建立企业管理、行业管理和社会监督相结合的监管体系和监管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应急冷链物流体系建设</w:t>
            </w:r>
          </w:p>
        </w:tc>
        <w:tc>
          <w:tcPr>
            <w:tcW w:w="2902"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建立健全应急冷链物流体系；完善应急冷链物流节点布局；搭建应急冷链物流信息及调度平台。</w:t>
            </w:r>
          </w:p>
        </w:tc>
        <w:tc>
          <w:tcPr>
            <w:tcW w:w="464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构建以政府主管部门为核心领导的应急冷链指挥体系，搭建“政、企、军、民”协同配合的应急冷链物流体系；制定应急冷链物流企业“白名单”，加强日常防疫监管和应急演练；搭建国际、国内、城市“三级应急冷链接驳配送节点体系”，明确国际国内应急救援冷链物资中转节点和城市配送节点；加强县级冷链集中监管仓使用，制定动态名单；依托政府公共信息平台搭建城市应急冷链物流信息发布、调度平台，对接国家省市应急系统，实现冷链物资信息查询、冷链资源调拨等功能。</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三、申报范围及主体</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lang w:eastAsia="zh-CN"/>
        </w:rPr>
      </w:pPr>
      <w:r>
        <w:rPr>
          <w:rFonts w:hint="eastAsia"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lang w:eastAsia="zh-CN"/>
        </w:rPr>
        <w:t>申报范围</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全省产业基础好、冷链物流体系有一定基础、辐射带动能力强的市（州）。市（州）</w:t>
      </w:r>
      <w:r>
        <w:rPr>
          <w:rFonts w:hint="eastAsia" w:ascii="Times New Roman" w:hAnsi="Times New Roman" w:eastAsia="仿宋_GB2312" w:cs="Times New Roman"/>
          <w:sz w:val="32"/>
          <w:szCs w:val="32"/>
          <w:lang w:eastAsia="zh-CN"/>
        </w:rPr>
        <w:t>口岸物流主管部门为全市（州）总体方案编制主体，支撑项目建设单位为实施主体。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四、申报条件</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申报市（州）在冷链物流体系建设方面具有一定基础，冷链产品具备区域性、全国性辐射集散能力，交通基础设施建设完备，有专业型冷链物流园区且有一定冷链物流项目储备，冷链物流主体可为全链条提供专业冷链服务，具备开展冷链物流信息化、标准化和绿色化的基础，组织领导、机制建设、规划引领、政策扶持、资金保障等相关工作已开展。</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（二）按要求制定冷链物流体系试点建设实施方案，方案操作性强，有前瞻性，积极融入新经济、新技术等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能够为区域范围内冷链产品的生产、加工、商贸流通（批发市场、连锁商超和便利店、餐饮企业、贸易企业）、冷链物流、销售等各类企业和居民消费需求提供冷链物流服务，并能有效降低物流成本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提高流通效率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减少流通损耗</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增强应急冷链物流保障。</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30" w:firstLine="640" w:firstLineChars="200"/>
        <w:jc w:val="both"/>
        <w:textAlignment w:val="baseline"/>
        <w:rPr>
          <w:rFonts w:hint="default" w:ascii="Times New Roman" w:hAnsi="Times New Roman" w:eastAsia="仿宋_GB2312" w:cs="Times New Roman"/>
          <w:b w:val="0"/>
          <w:bCs w:val="0"/>
          <w:snapToGrid/>
          <w:color w:val="auto"/>
          <w:kern w:val="0"/>
          <w:sz w:val="32"/>
          <w:szCs w:val="32"/>
          <w:highlight w:val="none"/>
          <w:lang w:val="en-US" w:eastAsia="zh-CN" w:bidi="ar-SA"/>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snapToGrid/>
          <w:color w:val="auto"/>
          <w:kern w:val="0"/>
          <w:sz w:val="32"/>
          <w:szCs w:val="32"/>
          <w:highlight w:val="none"/>
          <w:lang w:val="en-US" w:eastAsia="zh-CN" w:bidi="ar-SA"/>
        </w:rPr>
        <w:t>集约资源，纳入</w:t>
      </w:r>
      <w:r>
        <w:rPr>
          <w:rFonts w:hint="eastAsia" w:ascii="Times New Roman" w:hAnsi="Times New Roman" w:eastAsia="仿宋_GB2312" w:cs="Times New Roman"/>
          <w:b w:val="0"/>
          <w:bCs w:val="0"/>
          <w:snapToGrid/>
          <w:color w:val="auto"/>
          <w:kern w:val="0"/>
          <w:sz w:val="32"/>
          <w:szCs w:val="32"/>
          <w:highlight w:val="none"/>
          <w:lang w:val="en-US" w:eastAsia="zh-CN" w:bidi="ar-SA"/>
        </w:rPr>
        <w:t>冷链</w:t>
      </w:r>
      <w:r>
        <w:rPr>
          <w:rFonts w:hint="default" w:ascii="Times New Roman" w:hAnsi="Times New Roman" w:eastAsia="仿宋_GB2312" w:cs="Times New Roman"/>
          <w:b w:val="0"/>
          <w:bCs w:val="0"/>
          <w:snapToGrid/>
          <w:color w:val="auto"/>
          <w:kern w:val="0"/>
          <w:sz w:val="32"/>
          <w:szCs w:val="32"/>
          <w:highlight w:val="none"/>
          <w:lang w:val="en-US" w:eastAsia="zh-CN" w:bidi="ar-SA"/>
        </w:rPr>
        <w:t>物流体系示范项目实施条件和基础好，示范性强，具有很好的带动引领性，资金投入情况已落实，有健全的财务管理制度和项目管理制度。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lang w:eastAsia="zh-CN"/>
        </w:rPr>
        <w:t>评选办法</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（一）评审方式。</w:t>
      </w:r>
      <w:r>
        <w:rPr>
          <w:rFonts w:hint="default" w:ascii="Times New Roman" w:hAnsi="Times New Roman" w:eastAsia="仿宋_GB2312" w:cs="Times New Roman"/>
          <w:sz w:val="32"/>
          <w:szCs w:val="32"/>
        </w:rPr>
        <w:t>采用方案评审，专家根据申报市（州）提供的《冷链物流</w:t>
      </w:r>
      <w:r>
        <w:rPr>
          <w:rFonts w:hint="eastAsia" w:ascii="Times New Roman" w:hAnsi="Times New Roman" w:eastAsia="仿宋_GB2312" w:cs="Times New Roman"/>
          <w:sz w:val="32"/>
          <w:szCs w:val="32"/>
          <w:lang w:eastAsia="zh-CN"/>
        </w:rPr>
        <w:t>发展示范市</w:t>
      </w:r>
      <w:r>
        <w:rPr>
          <w:rFonts w:hint="default" w:ascii="Times New Roman" w:hAnsi="Times New Roman" w:eastAsia="仿宋_GB2312" w:cs="Times New Roman"/>
          <w:sz w:val="32"/>
          <w:szCs w:val="32"/>
        </w:rPr>
        <w:t>建设实施方案》和其他相关证明材料综合考评，总分100分。</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（二）结果确认。</w:t>
      </w:r>
      <w:r>
        <w:rPr>
          <w:rFonts w:hint="default" w:ascii="Times New Roman" w:hAnsi="Times New Roman" w:eastAsia="仿宋_GB2312" w:cs="Times New Roman"/>
          <w:sz w:val="32"/>
          <w:szCs w:val="32"/>
        </w:rPr>
        <w:t>专家根据评审结果按得分从高到低排序，结合《</w:t>
      </w:r>
      <w:r>
        <w:rPr>
          <w:rFonts w:hint="eastAsia" w:ascii="Times New Roman" w:hAnsi="Times New Roman" w:eastAsia="仿宋_GB2312" w:cs="Times New Roman"/>
          <w:sz w:val="32"/>
          <w:szCs w:val="32"/>
          <w:lang w:eastAsia="zh-CN"/>
        </w:rPr>
        <w:t>申报</w:t>
      </w:r>
      <w:r>
        <w:rPr>
          <w:rFonts w:hint="default" w:ascii="Times New Roman" w:hAnsi="Times New Roman" w:eastAsia="仿宋_GB2312" w:cs="Times New Roman"/>
          <w:sz w:val="32"/>
          <w:szCs w:val="32"/>
        </w:rPr>
        <w:t>指南》要求拟定试点</w:t>
      </w:r>
      <w:r>
        <w:rPr>
          <w:rFonts w:hint="eastAsia" w:ascii="Times New Roman" w:hAnsi="Times New Roman" w:eastAsia="仿宋_GB2312" w:cs="Times New Roman"/>
          <w:sz w:val="32"/>
          <w:szCs w:val="32"/>
          <w:lang w:eastAsia="zh-CN"/>
        </w:rPr>
        <w:t>市（州）</w:t>
      </w:r>
      <w:r>
        <w:rPr>
          <w:rFonts w:hint="default" w:ascii="Times New Roman" w:hAnsi="Times New Roman" w:eastAsia="仿宋_GB2312" w:cs="Times New Roman"/>
          <w:sz w:val="32"/>
          <w:szCs w:val="32"/>
        </w:rPr>
        <w:t>，并按程序报请省政府常务会通过后安排资金、组织实施。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六、应提交的材料</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按照附件</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的参考格式编制申报材料，主要涉及以下内容：</w:t>
      </w:r>
    </w:p>
    <w:p>
      <w:pPr>
        <w:pageBreakBefore w:val="0"/>
        <w:kinsoku/>
        <w:wordWrap/>
        <w:overflowPunct/>
        <w:topLinePunct w:val="0"/>
        <w:bidi w:val="0"/>
        <w:spacing w:line="600" w:lineRule="exact"/>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（一）市（州）口岸物流主管部门申报文件和市（州）政府同意文件</w:t>
      </w:r>
      <w:r>
        <w:rPr>
          <w:rFonts w:hint="eastAsia" w:ascii="Times New Roman" w:hAnsi="Times New Roman" w:eastAsia="仿宋_GB2312" w:cs="Times New Roman"/>
          <w:sz w:val="32"/>
          <w:szCs w:val="32"/>
          <w:lang w:val="en-US" w:eastAsia="zh-CN"/>
        </w:rPr>
        <w:t>；</w:t>
      </w:r>
    </w:p>
    <w:p>
      <w:pPr>
        <w:pageBreakBefore w:val="0"/>
        <w:kinsoku/>
        <w:wordWrap/>
        <w:overflowPunct/>
        <w:topLinePunct w:val="0"/>
        <w:bidi w:val="0"/>
        <w:spacing w:line="60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（二）《冷链物流发展示范市建设实施方案》（参考格式见附件2）</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5" w:firstLine="789"/>
        <w:jc w:val="both"/>
        <w:textAlignment w:val="baseline"/>
        <w:rPr>
          <w:rFonts w:hint="default" w:ascii="Times New Roman" w:hAnsi="Times New Roman" w:eastAsia="仿宋_GB2312" w:cs="Times New Roman"/>
          <w:b w:val="0"/>
          <w:bCs w:val="0"/>
          <w:snapToGrid/>
          <w:kern w:val="2"/>
          <w:sz w:val="32"/>
          <w:szCs w:val="32"/>
          <w:lang w:val="en-US" w:eastAsia="zh-CN" w:bidi="ar-SA"/>
        </w:rPr>
      </w:pPr>
      <w:r>
        <w:rPr>
          <w:rFonts w:hint="eastAsia" w:ascii="Times New Roman" w:hAnsi="Times New Roman" w:eastAsia="仿宋_GB2312" w:cs="Times New Roman"/>
          <w:b w:val="0"/>
          <w:bCs w:val="0"/>
          <w:snapToGrid/>
          <w:kern w:val="2"/>
          <w:sz w:val="32"/>
          <w:szCs w:val="32"/>
          <w:lang w:val="en-US" w:eastAsia="zh-CN" w:bidi="ar-SA"/>
        </w:rPr>
        <w:t>（三）</w:t>
      </w:r>
      <w:r>
        <w:rPr>
          <w:rFonts w:hint="default" w:ascii="Times New Roman" w:hAnsi="Times New Roman" w:eastAsia="仿宋_GB2312" w:cs="Times New Roman"/>
          <w:b w:val="0"/>
          <w:bCs w:val="0"/>
          <w:snapToGrid/>
          <w:kern w:val="2"/>
          <w:sz w:val="32"/>
          <w:szCs w:val="32"/>
          <w:lang w:val="en-US" w:eastAsia="zh-CN" w:bidi="ar-SA"/>
        </w:rPr>
        <w:t>省级促进现代物流业发展专项资金绩效目标表</w:t>
      </w:r>
      <w:r>
        <w:rPr>
          <w:rFonts w:hint="eastAsia" w:ascii="Times New Roman" w:hAnsi="Times New Roman" w:eastAsia="仿宋_GB2312" w:cs="Times New Roman"/>
          <w:b w:val="0"/>
          <w:bCs w:val="0"/>
          <w:snapToGrid/>
          <w:kern w:val="2"/>
          <w:sz w:val="32"/>
          <w:szCs w:val="32"/>
          <w:lang w:val="en-US" w:eastAsia="zh-CN" w:bidi="ar-SA"/>
        </w:rPr>
        <w:t>（附件3）;</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5" w:firstLine="789"/>
        <w:jc w:val="both"/>
        <w:textAlignment w:val="baseline"/>
        <w:rPr>
          <w:rFonts w:hint="eastAsia" w:ascii="Times New Roman" w:hAnsi="Times New Roman" w:eastAsia="仿宋_GB2312" w:cs="Times New Roman"/>
          <w:b w:val="0"/>
          <w:bCs w:val="0"/>
          <w:snapToGrid/>
          <w:kern w:val="2"/>
          <w:sz w:val="32"/>
          <w:szCs w:val="32"/>
          <w:lang w:val="en-US" w:eastAsia="zh-CN" w:bidi="ar-SA"/>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w:t>
      </w:r>
      <w:r>
        <w:rPr>
          <w:rFonts w:hint="eastAsia" w:ascii="Times New Roman" w:hAnsi="Times New Roman" w:eastAsia="仿宋_GB2312" w:cs="Times New Roman"/>
          <w:b w:val="0"/>
          <w:bCs w:val="0"/>
          <w:snapToGrid/>
          <w:kern w:val="2"/>
          <w:sz w:val="32"/>
          <w:szCs w:val="32"/>
          <w:lang w:val="en-US" w:eastAsia="zh-CN" w:bidi="ar-SA"/>
        </w:rPr>
        <w:t>支撑项目基本情况汇总表；</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5" w:firstLine="789"/>
        <w:jc w:val="both"/>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b w:val="0"/>
          <w:bCs w:val="0"/>
          <w:snapToGrid/>
          <w:kern w:val="2"/>
          <w:sz w:val="32"/>
          <w:szCs w:val="32"/>
          <w:lang w:val="en-US" w:eastAsia="zh-CN" w:bidi="ar-SA"/>
        </w:rPr>
        <w:t>（五）</w:t>
      </w:r>
      <w:r>
        <w:rPr>
          <w:rFonts w:hint="default" w:ascii="Times New Roman" w:hAnsi="Times New Roman" w:eastAsia="仿宋_GB2312" w:cs="Times New Roman"/>
          <w:b w:val="0"/>
          <w:bCs w:val="0"/>
          <w:snapToGrid/>
          <w:kern w:val="2"/>
          <w:sz w:val="32"/>
          <w:szCs w:val="32"/>
          <w:lang w:val="en-US" w:eastAsia="zh-CN" w:bidi="ar-SA"/>
        </w:rPr>
        <w:t>前期在冷链物流</w:t>
      </w:r>
      <w:r>
        <w:rPr>
          <w:rFonts w:hint="eastAsia" w:ascii="Times New Roman" w:hAnsi="Times New Roman" w:eastAsia="仿宋_GB2312" w:cs="Times New Roman"/>
          <w:b w:val="0"/>
          <w:bCs w:val="0"/>
          <w:snapToGrid/>
          <w:kern w:val="2"/>
          <w:sz w:val="32"/>
          <w:szCs w:val="32"/>
          <w:lang w:val="en-US" w:eastAsia="zh-CN" w:bidi="ar-SA"/>
        </w:rPr>
        <w:t>领域</w:t>
      </w:r>
      <w:r>
        <w:rPr>
          <w:rFonts w:hint="default" w:ascii="Times New Roman" w:hAnsi="Times New Roman" w:eastAsia="仿宋_GB2312" w:cs="Times New Roman"/>
          <w:b w:val="0"/>
          <w:bCs w:val="0"/>
          <w:snapToGrid/>
          <w:kern w:val="2"/>
          <w:sz w:val="32"/>
          <w:szCs w:val="32"/>
          <w:lang w:val="en-US" w:eastAsia="zh-CN" w:bidi="ar-SA"/>
        </w:rPr>
        <w:t>的建设基础及相关证明材料。1.</w:t>
      </w:r>
      <w:r>
        <w:rPr>
          <w:rFonts w:hint="eastAsia" w:ascii="Times New Roman" w:hAnsi="Times New Roman" w:eastAsia="仿宋_GB2312" w:cs="Times New Roman"/>
          <w:b w:val="0"/>
          <w:bCs w:val="0"/>
          <w:snapToGrid/>
          <w:kern w:val="2"/>
          <w:sz w:val="32"/>
          <w:szCs w:val="32"/>
          <w:lang w:val="en-US" w:eastAsia="zh-CN" w:bidi="ar-SA"/>
        </w:rPr>
        <w:t>支撑项目完成相关审批、</w:t>
      </w:r>
      <w:r>
        <w:rPr>
          <w:rFonts w:hint="default" w:ascii="Times New Roman" w:hAnsi="Times New Roman" w:eastAsia="仿宋_GB2312" w:cs="Times New Roman"/>
          <w:b w:val="0"/>
          <w:bCs w:val="0"/>
          <w:snapToGrid/>
          <w:kern w:val="2"/>
          <w:sz w:val="32"/>
          <w:szCs w:val="32"/>
          <w:lang w:val="en-US" w:eastAsia="zh-CN" w:bidi="ar-SA"/>
        </w:rPr>
        <w:t>核准或备案程序（地方政府投资项目应完成项目可行性研究报告或者初步设计审批），取得土地、规划、</w:t>
      </w:r>
      <w:r>
        <w:rPr>
          <w:rFonts w:hint="default" w:ascii="Times New Roman" w:hAnsi="Times New Roman" w:eastAsia="仿宋_GB2312" w:cs="Times New Roman"/>
          <w:b w:val="0"/>
          <w:bCs w:val="0"/>
          <w:sz w:val="32"/>
          <w:szCs w:val="32"/>
        </w:rPr>
        <w:t>环评等前期手续</w:t>
      </w:r>
      <w:r>
        <w:rPr>
          <w:rFonts w:hint="eastAsia" w:ascii="Times New Roman" w:hAnsi="Times New Roman" w:eastAsia="仿宋_GB2312" w:cs="Times New Roman"/>
          <w:b w:val="0"/>
          <w:bCs w:val="0"/>
          <w:sz w:val="32"/>
          <w:szCs w:val="32"/>
          <w:lang w:eastAsia="zh-CN"/>
        </w:rPr>
        <w:t>的证明材料。</w:t>
      </w:r>
      <w:r>
        <w:rPr>
          <w:rFonts w:hint="eastAsia" w:ascii="Times New Roman" w:hAnsi="Times New Roman" w:eastAsia="仿宋_GB2312" w:cs="Times New Roman"/>
          <w:b w:val="0"/>
          <w:bCs w:val="0"/>
          <w:sz w:val="32"/>
          <w:szCs w:val="32"/>
          <w:lang w:val="en-US" w:eastAsia="zh-CN"/>
        </w:rPr>
        <w:t>2.支撑项目建设企业（单位）</w:t>
      </w:r>
      <w:r>
        <w:rPr>
          <w:rFonts w:hint="default" w:ascii="Times New Roman" w:hAnsi="Times New Roman" w:eastAsia="仿宋_GB2312" w:cs="Times New Roman"/>
          <w:b w:val="0"/>
          <w:bCs w:val="0"/>
          <w:snapToGrid/>
          <w:kern w:val="2"/>
          <w:sz w:val="32"/>
          <w:szCs w:val="32"/>
          <w:lang w:val="en-US" w:eastAsia="zh-CN" w:bidi="ar-SA"/>
        </w:rPr>
        <w:t>营业执照、近两年</w:t>
      </w:r>
      <w:r>
        <w:rPr>
          <w:rFonts w:hint="eastAsia" w:ascii="Times New Roman" w:hAnsi="Times New Roman" w:eastAsia="仿宋_GB2312" w:cs="Times New Roman"/>
          <w:b w:val="0"/>
          <w:bCs w:val="0"/>
          <w:snapToGrid/>
          <w:kern w:val="2"/>
          <w:sz w:val="32"/>
          <w:szCs w:val="32"/>
          <w:lang w:val="en-US" w:eastAsia="zh-CN" w:bidi="ar-SA"/>
        </w:rPr>
        <w:t>经审计的</w:t>
      </w:r>
      <w:r>
        <w:rPr>
          <w:rFonts w:hint="default" w:ascii="Times New Roman" w:hAnsi="Times New Roman" w:eastAsia="仿宋_GB2312" w:cs="Times New Roman"/>
          <w:b w:val="0"/>
          <w:bCs w:val="0"/>
          <w:snapToGrid/>
          <w:kern w:val="2"/>
          <w:sz w:val="32"/>
          <w:szCs w:val="32"/>
          <w:lang w:val="en-US" w:eastAsia="zh-CN" w:bidi="ar-SA"/>
        </w:rPr>
        <w:t>财务报表、诚信经营</w:t>
      </w:r>
      <w:r>
        <w:rPr>
          <w:rFonts w:hint="eastAsia" w:ascii="Times New Roman" w:hAnsi="Times New Roman" w:eastAsia="仿宋_GB2312" w:cs="Times New Roman"/>
          <w:b w:val="0"/>
          <w:bCs w:val="0"/>
          <w:snapToGrid/>
          <w:kern w:val="2"/>
          <w:sz w:val="32"/>
          <w:szCs w:val="32"/>
          <w:lang w:val="en-US" w:eastAsia="zh-CN" w:bidi="ar-SA"/>
        </w:rPr>
        <w:t>、</w:t>
      </w:r>
      <w:r>
        <w:rPr>
          <w:rFonts w:hint="default" w:ascii="Times New Roman" w:hAnsi="Times New Roman" w:eastAsia="仿宋_GB2312" w:cs="Times New Roman"/>
          <w:b w:val="0"/>
          <w:bCs w:val="0"/>
          <w:snapToGrid/>
          <w:kern w:val="2"/>
          <w:sz w:val="32"/>
          <w:szCs w:val="32"/>
          <w:lang w:val="en-US" w:eastAsia="zh-CN" w:bidi="ar-SA"/>
        </w:rPr>
        <w:t>已有与</w:t>
      </w:r>
      <w:r>
        <w:rPr>
          <w:rFonts w:hint="eastAsia" w:ascii="Times New Roman" w:hAnsi="Times New Roman" w:eastAsia="仿宋_GB2312" w:cs="Times New Roman"/>
          <w:b w:val="0"/>
          <w:bCs w:val="0"/>
          <w:snapToGrid/>
          <w:kern w:val="2"/>
          <w:sz w:val="32"/>
          <w:szCs w:val="32"/>
          <w:lang w:val="en-US" w:eastAsia="zh-CN" w:bidi="ar-SA"/>
        </w:rPr>
        <w:t>冷链</w:t>
      </w:r>
      <w:r>
        <w:rPr>
          <w:rFonts w:hint="default" w:ascii="Times New Roman" w:hAnsi="Times New Roman" w:eastAsia="仿宋_GB2312" w:cs="Times New Roman"/>
          <w:b w:val="0"/>
          <w:bCs w:val="0"/>
          <w:snapToGrid/>
          <w:kern w:val="2"/>
          <w:sz w:val="32"/>
          <w:szCs w:val="32"/>
          <w:lang w:val="en-US" w:eastAsia="zh-CN" w:bidi="ar-SA"/>
        </w:rPr>
        <w:t>物流运营相关等相关证明材料</w:t>
      </w:r>
      <w:r>
        <w:rPr>
          <w:rFonts w:hint="eastAsia" w:ascii="Times New Roman" w:hAnsi="Times New Roman" w:eastAsia="仿宋_GB2312" w:cs="Times New Roman"/>
          <w:b w:val="0"/>
          <w:bCs w:val="0"/>
          <w:snapToGrid/>
          <w:kern w:val="2"/>
          <w:sz w:val="32"/>
          <w:szCs w:val="32"/>
          <w:lang w:val="en-US" w:eastAsia="zh-CN" w:bidi="ar-SA"/>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.冷链物流建设相关工作列入申报市（州）政府重点工作计划的证明材料，包括但不限于专题会议纪要、建立领导小区和协调机制等材料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.申报市（州）政府前期对冷链物流建设的配套支持政策的印证材料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.其他需要提供或补充的证明材料。</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84" w:firstLine="784"/>
        <w:textAlignment w:val="baseline"/>
        <w:rPr>
          <w:rFonts w:hint="eastAsia" w:ascii="Times New Roman" w:hAnsi="Times New Roman" w:eastAsia="仿宋_GB2312" w:cs="Times New Roman"/>
          <w:b w:val="0"/>
          <w:bCs w:val="0"/>
          <w:snapToGrid/>
          <w:kern w:val="2"/>
          <w:sz w:val="32"/>
          <w:szCs w:val="32"/>
          <w:lang w:val="en-US" w:eastAsia="zh-CN" w:bidi="ar-SA"/>
        </w:rPr>
      </w:pPr>
    </w:p>
    <w:p>
      <w:pPr>
        <w:keepNext w:val="0"/>
        <w:keepLines w:val="0"/>
        <w:pageBreakBefore w:val="0"/>
        <w:widowControl w:val="0"/>
        <w:kinsoku/>
        <w:wordWrap/>
        <w:overflowPunct/>
        <w:topLinePunct w:val="0"/>
        <w:autoSpaceDE w:val="0"/>
        <w:autoSpaceDN w:val="0"/>
        <w:bidi w:val="0"/>
        <w:adjustRightInd w:val="0"/>
        <w:snapToGrid w:val="0"/>
        <w:spacing w:line="600" w:lineRule="exact"/>
        <w:ind w:right="84" w:firstLine="784"/>
        <w:textAlignment w:val="baseline"/>
        <w:rPr>
          <w:rFonts w:hint="eastAsia" w:ascii="Times New Roman" w:hAnsi="Times New Roman" w:eastAsia="仿宋_GB2312" w:cs="Times New Roman"/>
          <w:b w:val="0"/>
          <w:bCs w:val="0"/>
          <w:snapToGrid/>
          <w:kern w:val="2"/>
          <w:sz w:val="32"/>
          <w:szCs w:val="32"/>
          <w:lang w:val="en-US" w:eastAsia="zh-CN" w:bidi="ar-SA"/>
        </w:rPr>
      </w:pPr>
      <w:r>
        <w:rPr>
          <w:rFonts w:hint="eastAsia" w:ascii="Times New Roman" w:hAnsi="Times New Roman" w:eastAsia="仿宋_GB2312" w:cs="Times New Roman"/>
          <w:b w:val="0"/>
          <w:bCs w:val="0"/>
          <w:snapToGrid/>
          <w:kern w:val="2"/>
          <w:sz w:val="32"/>
          <w:szCs w:val="32"/>
          <w:lang w:val="en-US" w:eastAsia="zh-CN" w:bidi="ar-SA"/>
        </w:rPr>
        <w:t>附件：1.冷链物流发展示范市建设申报材料</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84" w:firstLine="1680" w:firstLineChars="0"/>
        <w:textAlignment w:val="baseline"/>
        <w:rPr>
          <w:rFonts w:hint="eastAsia" w:ascii="Times New Roman" w:hAnsi="Times New Roman" w:eastAsia="仿宋_GB2312" w:cs="Times New Roman"/>
          <w:b w:val="0"/>
          <w:bCs w:val="0"/>
          <w:snapToGrid/>
          <w:kern w:val="2"/>
          <w:sz w:val="32"/>
          <w:szCs w:val="32"/>
          <w:lang w:val="en-US" w:eastAsia="zh-CN" w:bidi="ar-SA"/>
        </w:rPr>
      </w:pPr>
      <w:r>
        <w:rPr>
          <w:rFonts w:hint="eastAsia" w:ascii="Times New Roman" w:hAnsi="Times New Roman" w:eastAsia="仿宋_GB2312" w:cs="Times New Roman"/>
          <w:b w:val="0"/>
          <w:bCs w:val="0"/>
          <w:snapToGrid/>
          <w:kern w:val="2"/>
          <w:sz w:val="32"/>
          <w:szCs w:val="32"/>
          <w:lang w:val="en-US" w:eastAsia="zh-CN" w:bidi="ar-SA"/>
        </w:rPr>
        <w:t>2.冷链物流发展示范市建设实施方案</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1900" w:leftChars="800" w:right="84" w:hanging="220" w:firstLineChars="0"/>
        <w:textAlignment w:val="baseline"/>
        <w:rPr>
          <w:rFonts w:hint="default" w:ascii="Times New Roman" w:hAnsi="Times New Roman" w:eastAsia="仿宋_GB2312" w:cs="Times New Roman"/>
          <w:b w:val="0"/>
          <w:bCs w:val="0"/>
          <w:snapToGrid/>
          <w:kern w:val="2"/>
          <w:sz w:val="32"/>
          <w:szCs w:val="32"/>
          <w:lang w:val="en-US" w:eastAsia="zh-CN" w:bidi="ar-SA"/>
        </w:rPr>
      </w:pPr>
      <w:r>
        <w:rPr>
          <w:rFonts w:hint="eastAsia" w:ascii="Times New Roman" w:hAnsi="Times New Roman" w:eastAsia="仿宋_GB2312" w:cs="Times New Roman"/>
          <w:b w:val="0"/>
          <w:bCs w:val="0"/>
          <w:snapToGrid/>
          <w:kern w:val="2"/>
          <w:sz w:val="32"/>
          <w:szCs w:val="32"/>
          <w:lang w:val="en-US" w:eastAsia="zh-CN" w:bidi="ar-SA"/>
        </w:rPr>
        <w:t>3.省级促进现代物流业发展专项资金绩效目标表</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84" w:firstLine="1680" w:firstLineChars="0"/>
        <w:textAlignment w:val="baseline"/>
        <w:rPr>
          <w:rFonts w:hint="eastAsia" w:ascii="Times New Roman" w:hAnsi="Times New Roman" w:eastAsia="仿宋_GB2312" w:cs="Times New Roman"/>
          <w:b w:val="0"/>
          <w:bCs w:val="0"/>
          <w:snapToGrid/>
          <w:kern w:val="2"/>
          <w:sz w:val="32"/>
          <w:szCs w:val="32"/>
          <w:lang w:val="en-US" w:eastAsia="zh-CN" w:bidi="ar-SA"/>
        </w:rPr>
      </w:pPr>
      <w:r>
        <w:rPr>
          <w:rFonts w:hint="eastAsia" w:ascii="Times New Roman" w:hAnsi="Times New Roman" w:eastAsia="仿宋_GB2312" w:cs="Times New Roman"/>
          <w:b w:val="0"/>
          <w:bCs w:val="0"/>
          <w:snapToGrid/>
          <w:kern w:val="2"/>
          <w:sz w:val="32"/>
          <w:szCs w:val="32"/>
          <w:lang w:val="en-US" w:eastAsia="zh-CN" w:bidi="ar-SA"/>
        </w:rPr>
        <w:t>4.支撑项目基本情况汇总表</w:t>
      </w:r>
    </w:p>
    <w:p>
      <w:pPr>
        <w:pStyle w:val="2"/>
        <w:rPr>
          <w:rFonts w:hint="default" w:ascii="Times New Roman" w:hAnsi="Times New Roman" w:eastAsia="仿宋_GB2312" w:cs="Times New Roman"/>
          <w:bCs/>
          <w:snapToGrid/>
          <w:kern w:val="2"/>
          <w:sz w:val="32"/>
          <w:szCs w:val="32"/>
          <w:lang w:val="en-US" w:eastAsia="zh-CN" w:bidi="ar-SA"/>
        </w:rPr>
      </w:pPr>
    </w:p>
    <w:p>
      <w:pPr>
        <w:pageBreakBefore w:val="0"/>
        <w:suppressAutoHyphens/>
        <w:kinsoku/>
        <w:wordWrap/>
        <w:overflowPunct/>
        <w:topLinePunct w:val="0"/>
        <w:bidi w:val="0"/>
        <w:spacing w:line="600" w:lineRule="exact"/>
        <w:rPr>
          <w:rFonts w:hint="default" w:ascii="Times New Roman" w:hAnsi="Times New Roman" w:eastAsia="仿宋_GB2312" w:cs="Times New Roman"/>
          <w:bCs/>
          <w:sz w:val="32"/>
          <w:szCs w:val="32"/>
        </w:rPr>
        <w:sectPr>
          <w:footerReference r:id="rId5" w:type="default"/>
          <w:pgSz w:w="11900" w:h="16950"/>
          <w:pgMar w:top="1871" w:right="1531" w:bottom="1417" w:left="1531" w:header="0" w:footer="1083" w:gutter="0"/>
          <w:pgNumType w:fmt="decimal" w:start="2"/>
          <w:cols w:space="720" w:num="1"/>
          <w:docGrid w:linePitch="1" w:charSpace="0"/>
        </w:sectPr>
      </w:pPr>
    </w:p>
    <w:p>
      <w:pPr>
        <w:pageBreakBefore w:val="0"/>
        <w:suppressAutoHyphens/>
        <w:kinsoku/>
        <w:wordWrap/>
        <w:overflowPunct/>
        <w:topLinePunct w:val="0"/>
        <w:bidi w:val="0"/>
        <w:spacing w:line="600" w:lineRule="exact"/>
        <w:rPr>
          <w:rFonts w:hint="eastAsia" w:ascii="黑体" w:hAnsi="黑体" w:eastAsia="黑体" w:cs="黑体"/>
          <w:bCs/>
          <w:sz w:val="32"/>
          <w:szCs w:val="32"/>
        </w:rPr>
      </w:pPr>
      <w:r>
        <w:rPr>
          <w:rFonts w:hint="eastAsia" w:ascii="黑体" w:hAnsi="黑体" w:eastAsia="黑体" w:cs="黑体"/>
          <w:bCs/>
          <w:sz w:val="32"/>
          <w:szCs w:val="32"/>
        </w:rPr>
        <w:t>附件1</w:t>
      </w:r>
    </w:p>
    <w:p>
      <w:pPr>
        <w:pStyle w:val="2"/>
        <w:pageBreakBefore w:val="0"/>
        <w:kinsoku/>
        <w:wordWrap/>
        <w:overflowPunct/>
        <w:topLinePunct w:val="0"/>
        <w:bidi w:val="0"/>
        <w:spacing w:line="600" w:lineRule="exact"/>
        <w:jc w:val="both"/>
        <w:rPr>
          <w:rFonts w:hint="default" w:ascii="Times New Roman" w:hAnsi="Times New Roman" w:eastAsia="方正小标宋简体" w:cs="Times New Roman"/>
          <w:bCs/>
          <w:sz w:val="44"/>
          <w:szCs w:val="44"/>
        </w:rPr>
      </w:pPr>
    </w:p>
    <w:p>
      <w:pPr>
        <w:pStyle w:val="2"/>
        <w:pageBreakBefore w:val="0"/>
        <w:kinsoku/>
        <w:wordWrap/>
        <w:overflowPunct/>
        <w:topLinePunct w:val="0"/>
        <w:bidi w:val="0"/>
        <w:spacing w:line="600" w:lineRule="exact"/>
        <w:jc w:val="both"/>
        <w:rPr>
          <w:rFonts w:hint="default" w:ascii="Times New Roman" w:hAnsi="Times New Roman" w:eastAsia="方正小标宋简体" w:cs="Times New Roman"/>
          <w:bCs/>
          <w:sz w:val="44"/>
          <w:szCs w:val="44"/>
        </w:rPr>
      </w:pPr>
    </w:p>
    <w:p>
      <w:pPr>
        <w:pStyle w:val="2"/>
        <w:pageBreakBefore w:val="0"/>
        <w:kinsoku/>
        <w:wordWrap/>
        <w:overflowPunct/>
        <w:topLinePunct w:val="0"/>
        <w:bidi w:val="0"/>
        <w:spacing w:line="600" w:lineRule="exact"/>
        <w:jc w:val="both"/>
        <w:rPr>
          <w:rFonts w:hint="default" w:ascii="Times New Roman" w:hAnsi="Times New Roman" w:eastAsia="方正小标宋简体" w:cs="Times New Roman"/>
          <w:bCs/>
          <w:sz w:val="44"/>
          <w:szCs w:val="44"/>
        </w:rPr>
      </w:pPr>
    </w:p>
    <w:p>
      <w:pPr>
        <w:pStyle w:val="2"/>
        <w:pageBreakBefore w:val="0"/>
        <w:kinsoku/>
        <w:wordWrap/>
        <w:overflowPunct/>
        <w:topLinePunct w:val="0"/>
        <w:bidi w:val="0"/>
        <w:spacing w:line="600" w:lineRule="exact"/>
        <w:jc w:val="both"/>
        <w:rPr>
          <w:rFonts w:hint="default" w:ascii="Times New Roman" w:hAnsi="Times New Roman" w:eastAsia="方正小标宋简体" w:cs="Times New Roman"/>
          <w:bCs/>
          <w:sz w:val="44"/>
          <w:szCs w:val="44"/>
        </w:rPr>
      </w:pPr>
    </w:p>
    <w:p>
      <w:pPr>
        <w:pStyle w:val="2"/>
        <w:pageBreakBefore w:val="0"/>
        <w:kinsoku/>
        <w:wordWrap/>
        <w:overflowPunct/>
        <w:topLinePunct w:val="0"/>
        <w:bidi w:val="0"/>
        <w:spacing w:line="600" w:lineRule="exact"/>
        <w:jc w:val="both"/>
        <w:rPr>
          <w:rFonts w:hint="default" w:ascii="Times New Roman" w:hAnsi="Times New Roman" w:eastAsia="方正小标宋简体" w:cs="Times New Roman"/>
          <w:bCs/>
          <w:sz w:val="44"/>
          <w:szCs w:val="44"/>
        </w:rPr>
      </w:pPr>
    </w:p>
    <w:p>
      <w:pPr>
        <w:pStyle w:val="2"/>
        <w:pageBreakBefore w:val="0"/>
        <w:kinsoku/>
        <w:wordWrap/>
        <w:overflowPunct/>
        <w:topLinePunct w:val="0"/>
        <w:bidi w:val="0"/>
        <w:spacing w:line="600" w:lineRule="exact"/>
        <w:jc w:val="both"/>
        <w:rPr>
          <w:rFonts w:hint="default" w:ascii="Times New Roman" w:hAnsi="Times New Roman" w:eastAsia="方正小标宋简体" w:cs="Times New Roman"/>
          <w:bCs/>
          <w:sz w:val="44"/>
          <w:szCs w:val="44"/>
        </w:rPr>
      </w:pPr>
    </w:p>
    <w:p>
      <w:pPr>
        <w:pStyle w:val="2"/>
        <w:pageBreakBefore w:val="0"/>
        <w:kinsoku/>
        <w:wordWrap/>
        <w:overflowPunct/>
        <w:topLinePunct w:val="0"/>
        <w:bidi w:val="0"/>
        <w:spacing w:line="600" w:lineRule="exact"/>
        <w:jc w:val="both"/>
        <w:rPr>
          <w:rFonts w:hint="default" w:ascii="Times New Roman" w:hAnsi="Times New Roman" w:eastAsia="方正小标宋简体" w:cs="Times New Roman"/>
          <w:bCs/>
          <w:sz w:val="44"/>
          <w:szCs w:val="44"/>
        </w:rPr>
      </w:pPr>
    </w:p>
    <w:p>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简体" w:cs="Times New Roman"/>
          <w:snapToGrid w:val="0"/>
          <w:color w:val="000000"/>
          <w:kern w:val="0"/>
          <w:sz w:val="44"/>
          <w:szCs w:val="44"/>
          <w:lang w:eastAsia="zh-CN"/>
        </w:rPr>
      </w:pPr>
      <w:r>
        <w:rPr>
          <w:rFonts w:hint="default" w:ascii="Times New Roman" w:hAnsi="Times New Roman" w:eastAsia="方正小标宋简体" w:cs="Times New Roman"/>
          <w:snapToGrid w:val="0"/>
          <w:color w:val="000000"/>
          <w:kern w:val="0"/>
          <w:sz w:val="44"/>
          <w:szCs w:val="44"/>
          <w:lang w:eastAsia="zh-CN"/>
        </w:rPr>
        <w:t>冷链物流发展示范市建设申报材料</w:t>
      </w:r>
    </w:p>
    <w:p>
      <w:pPr>
        <w:pageBreakBefore w:val="0"/>
        <w:suppressAutoHyphens/>
        <w:kinsoku/>
        <w:wordWrap/>
        <w:overflowPunct/>
        <w:topLinePunct w:val="0"/>
        <w:bidi w:val="0"/>
        <w:spacing w:line="600" w:lineRule="exact"/>
        <w:rPr>
          <w:rFonts w:hint="default" w:ascii="Times New Roman" w:hAnsi="Times New Roman" w:eastAsia="方正小标宋简体" w:cs="Times New Roman"/>
          <w:bCs/>
          <w:sz w:val="44"/>
          <w:szCs w:val="44"/>
        </w:rPr>
      </w:pPr>
    </w:p>
    <w:p>
      <w:pPr>
        <w:pageBreakBefore w:val="0"/>
        <w:suppressAutoHyphens/>
        <w:kinsoku/>
        <w:wordWrap/>
        <w:overflowPunct/>
        <w:topLinePunct w:val="0"/>
        <w:bidi w:val="0"/>
        <w:spacing w:line="600" w:lineRule="exact"/>
        <w:jc w:val="center"/>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（参考格式）</w:t>
      </w:r>
    </w:p>
    <w:p>
      <w:pPr>
        <w:pageBreakBefore w:val="0"/>
        <w:suppressAutoHyphens/>
        <w:kinsoku/>
        <w:wordWrap/>
        <w:overflowPunct/>
        <w:topLinePunct w:val="0"/>
        <w:bidi w:val="0"/>
        <w:spacing w:line="600" w:lineRule="exact"/>
        <w:rPr>
          <w:rFonts w:hint="default" w:ascii="Times New Roman" w:hAnsi="Times New Roman" w:eastAsia="方正小标宋简体" w:cs="Times New Roman"/>
          <w:bCs/>
          <w:sz w:val="44"/>
          <w:szCs w:val="44"/>
        </w:rPr>
      </w:pPr>
    </w:p>
    <w:p>
      <w:pPr>
        <w:pageBreakBefore w:val="0"/>
        <w:kinsoku/>
        <w:wordWrap/>
        <w:overflowPunct/>
        <w:topLinePunct w:val="0"/>
        <w:autoSpaceDE w:val="0"/>
        <w:autoSpaceDN w:val="0"/>
        <w:bidi w:val="0"/>
        <w:adjustRightInd w:val="0"/>
        <w:snapToGrid w:val="0"/>
        <w:spacing w:line="600" w:lineRule="exact"/>
        <w:textAlignment w:val="baseline"/>
        <w:rPr>
          <w:rFonts w:hint="default" w:ascii="Times New Roman" w:hAnsi="Times New Roman" w:eastAsia="仿宋_GB2312" w:cs="Times New Roman"/>
        </w:rPr>
      </w:pPr>
    </w:p>
    <w:p>
      <w:pPr>
        <w:pageBreakBefore w:val="0"/>
        <w:kinsoku/>
        <w:wordWrap/>
        <w:overflowPunct/>
        <w:topLinePunct w:val="0"/>
        <w:autoSpaceDE w:val="0"/>
        <w:autoSpaceDN w:val="0"/>
        <w:bidi w:val="0"/>
        <w:adjustRightInd w:val="0"/>
        <w:snapToGrid w:val="0"/>
        <w:spacing w:line="600" w:lineRule="exact"/>
        <w:textAlignment w:val="baseline"/>
        <w:rPr>
          <w:rFonts w:hint="default" w:ascii="Times New Roman" w:hAnsi="Times New Roman" w:eastAsia="仿宋_GB2312" w:cs="Times New Roman"/>
          <w:sz w:val="33"/>
          <w:szCs w:val="33"/>
        </w:rPr>
      </w:pPr>
      <w:r>
        <w:rPr>
          <w:rFonts w:hint="default" w:ascii="Times New Roman" w:hAnsi="Times New Roman" w:eastAsia="仿宋_GB2312" w:cs="Times New Roman"/>
          <w:spacing w:val="17"/>
          <w:sz w:val="33"/>
          <w:szCs w:val="33"/>
        </w:rPr>
        <w:t>申报主体（盖章）</w:t>
      </w:r>
      <w:r>
        <w:rPr>
          <w:rFonts w:hint="default" w:ascii="Times New Roman" w:hAnsi="Times New Roman" w:eastAsia="仿宋_GB2312" w:cs="Times New Roman"/>
          <w:sz w:val="33"/>
          <w:szCs w:val="33"/>
          <w:u w:val="single"/>
        </w:rPr>
        <w:t xml:space="preserve">                               </w:t>
      </w:r>
    </w:p>
    <w:p>
      <w:pPr>
        <w:pageBreakBefore w:val="0"/>
        <w:kinsoku/>
        <w:wordWrap/>
        <w:overflowPunct/>
        <w:topLinePunct w:val="0"/>
        <w:autoSpaceDE w:val="0"/>
        <w:autoSpaceDN w:val="0"/>
        <w:bidi w:val="0"/>
        <w:adjustRightInd w:val="0"/>
        <w:snapToGrid w:val="0"/>
        <w:spacing w:line="600" w:lineRule="exact"/>
        <w:textAlignment w:val="baseline"/>
        <w:rPr>
          <w:rFonts w:hint="default" w:ascii="Times New Roman" w:hAnsi="Times New Roman" w:eastAsia="仿宋_GB2312" w:cs="Times New Roman"/>
        </w:rPr>
      </w:pPr>
    </w:p>
    <w:p>
      <w:pPr>
        <w:pageBreakBefore w:val="0"/>
        <w:kinsoku/>
        <w:wordWrap/>
        <w:overflowPunct/>
        <w:topLinePunct w:val="0"/>
        <w:autoSpaceDE w:val="0"/>
        <w:autoSpaceDN w:val="0"/>
        <w:bidi w:val="0"/>
        <w:adjustRightInd w:val="0"/>
        <w:snapToGrid w:val="0"/>
        <w:spacing w:line="600" w:lineRule="exact"/>
        <w:textAlignment w:val="baseline"/>
        <w:rPr>
          <w:rFonts w:hint="default" w:ascii="Times New Roman" w:hAnsi="Times New Roman" w:eastAsia="仿宋_GB2312" w:cs="Times New Roman"/>
        </w:rPr>
      </w:pPr>
    </w:p>
    <w:p>
      <w:pPr>
        <w:pStyle w:val="2"/>
        <w:pageBreakBefore w:val="0"/>
        <w:kinsoku/>
        <w:wordWrap/>
        <w:overflowPunct/>
        <w:topLinePunct w:val="0"/>
        <w:autoSpaceDE w:val="0"/>
        <w:autoSpaceDN w:val="0"/>
        <w:bidi w:val="0"/>
        <w:adjustRightInd w:val="0"/>
        <w:spacing w:line="600" w:lineRule="exact"/>
        <w:jc w:val="both"/>
        <w:textAlignment w:val="baseline"/>
        <w:rPr>
          <w:rFonts w:hint="default" w:ascii="Times New Roman" w:hAnsi="Times New Roman" w:eastAsia="仿宋_GB2312" w:cs="Times New Roman"/>
        </w:rPr>
      </w:pPr>
    </w:p>
    <w:p>
      <w:pPr>
        <w:pageBreakBefore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pacing w:val="17"/>
          <w:sz w:val="33"/>
          <w:szCs w:val="33"/>
        </w:rPr>
      </w:pPr>
      <w:r>
        <w:rPr>
          <w:rFonts w:hint="default" w:ascii="Times New Roman" w:hAnsi="Times New Roman" w:eastAsia="仿宋_GB2312" w:cs="Times New Roman"/>
          <w:spacing w:val="17"/>
          <w:sz w:val="33"/>
          <w:szCs w:val="33"/>
        </w:rPr>
        <w:t>申报时间：  年  月  日</w:t>
      </w:r>
    </w:p>
    <w:p>
      <w:pPr>
        <w:pStyle w:val="16"/>
        <w:pageBreakBefore w:val="0"/>
        <w:widowControl w:val="0"/>
        <w:numPr>
          <w:ilvl w:val="0"/>
          <w:numId w:val="0"/>
        </w:numPr>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仿宋_GB2312" w:cs="Times New Roman"/>
          <w:spacing w:val="17"/>
          <w:sz w:val="33"/>
          <w:szCs w:val="33"/>
        </w:rPr>
      </w:pPr>
    </w:p>
    <w:p>
      <w:pPr>
        <w:pStyle w:val="2"/>
        <w:jc w:val="center"/>
        <w:rPr>
          <w:rFonts w:hint="eastAsia" w:ascii="楷体_GB2312" w:hAnsi="楷体_GB2312" w:eastAsia="楷体_GB2312" w:cs="楷体_GB2312"/>
          <w:spacing w:val="17"/>
          <w:sz w:val="30"/>
          <w:szCs w:val="30"/>
          <w:lang w:eastAsia="zh-CN"/>
        </w:rPr>
      </w:pPr>
    </w:p>
    <w:p>
      <w:pPr>
        <w:pStyle w:val="2"/>
        <w:jc w:val="center"/>
        <w:rPr>
          <w:rFonts w:hint="eastAsia" w:ascii="楷体_GB2312" w:hAnsi="楷体_GB2312" w:eastAsia="楷体_GB2312" w:cs="楷体_GB2312"/>
          <w:spacing w:val="17"/>
          <w:sz w:val="30"/>
          <w:szCs w:val="30"/>
          <w:lang w:eastAsia="zh-CN"/>
        </w:rPr>
      </w:pPr>
    </w:p>
    <w:p>
      <w:pPr>
        <w:pStyle w:val="2"/>
        <w:jc w:val="center"/>
        <w:rPr>
          <w:rFonts w:hint="default" w:ascii="Times New Roman" w:hAnsi="Times New Roman" w:eastAsia="仿宋_GB2312" w:cs="Times New Roman"/>
          <w:spacing w:val="17"/>
          <w:sz w:val="33"/>
          <w:szCs w:val="33"/>
        </w:rPr>
        <w:sectPr>
          <w:footerReference r:id="rId6" w:type="default"/>
          <w:pgSz w:w="11900" w:h="16950"/>
          <w:pgMar w:top="1871" w:right="1531" w:bottom="1417" w:left="1531" w:header="0" w:footer="1083" w:gutter="0"/>
          <w:pgNumType w:fmt="decimal" w:start="8"/>
          <w:cols w:space="720" w:num="1"/>
          <w:docGrid w:linePitch="1" w:charSpace="0"/>
        </w:sectPr>
      </w:pPr>
      <w:r>
        <w:rPr>
          <w:rFonts w:hint="eastAsia" w:ascii="楷体_GB2312" w:hAnsi="楷体_GB2312" w:eastAsia="楷体_GB2312" w:cs="楷体_GB2312"/>
          <w:spacing w:val="17"/>
          <w:sz w:val="30"/>
          <w:szCs w:val="30"/>
          <w:lang w:eastAsia="zh-CN"/>
        </w:rPr>
        <w:t>四川省人民政府口岸与物流办公室（制）</w:t>
      </w:r>
    </w:p>
    <w:p>
      <w:pPr>
        <w:pageBreakBefore w:val="0"/>
        <w:kinsoku/>
        <w:wordWrap/>
        <w:overflowPunct/>
        <w:topLinePunct w:val="0"/>
        <w:autoSpaceDE w:val="0"/>
        <w:autoSpaceDN w:val="0"/>
        <w:bidi w:val="0"/>
        <w:adjustRightInd w:val="0"/>
        <w:snapToGrid w:val="0"/>
        <w:spacing w:line="600" w:lineRule="exact"/>
        <w:textAlignment w:val="baseline"/>
        <w:rPr>
          <w:rFonts w:hint="default" w:ascii="Times New Roman" w:hAnsi="Times New Roman" w:eastAsia="仿宋_GB2312" w:cs="Times New Roman"/>
        </w:rPr>
      </w:pPr>
    </w:p>
    <w:p>
      <w:pPr>
        <w:pageBreakBefore w:val="0"/>
        <w:kinsoku/>
        <w:wordWrap/>
        <w:overflowPunct/>
        <w:topLinePunct w:val="0"/>
        <w:autoSpaceDE w:val="0"/>
        <w:autoSpaceDN w:val="0"/>
        <w:bidi w:val="0"/>
        <w:adjustRightInd w:val="0"/>
        <w:snapToGrid w:val="0"/>
        <w:spacing w:line="600" w:lineRule="exact"/>
        <w:textAlignment w:val="baseline"/>
        <w:rPr>
          <w:rFonts w:hint="default" w:ascii="Times New Roman" w:hAnsi="Times New Roman" w:eastAsia="仿宋_GB2312" w:cs="Times New Roman"/>
        </w:rPr>
      </w:pPr>
    </w:p>
    <w:p>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简体" w:cs="Times New Roman"/>
          <w:snapToGrid w:val="0"/>
          <w:color w:val="000000"/>
          <w:kern w:val="0"/>
          <w:sz w:val="44"/>
          <w:szCs w:val="44"/>
          <w:lang w:eastAsia="zh-CN"/>
        </w:rPr>
      </w:pPr>
      <w:r>
        <w:rPr>
          <w:rFonts w:hint="default" w:ascii="Times New Roman" w:hAnsi="Times New Roman" w:eastAsia="方正小标宋简体" w:cs="Times New Roman"/>
          <w:snapToGrid w:val="0"/>
          <w:color w:val="000000"/>
          <w:kern w:val="0"/>
          <w:sz w:val="44"/>
          <w:szCs w:val="44"/>
          <w:lang w:eastAsia="zh-CN"/>
        </w:rPr>
        <w:t>目  录</w:t>
      </w:r>
    </w:p>
    <w:p>
      <w:pPr>
        <w:pageBreakBefore w:val="0"/>
        <w:kinsoku/>
        <w:wordWrap/>
        <w:overflowPunct/>
        <w:topLinePunct w:val="0"/>
        <w:autoSpaceDE w:val="0"/>
        <w:autoSpaceDN w:val="0"/>
        <w:bidi w:val="0"/>
        <w:adjustRightInd w:val="0"/>
        <w:snapToGrid w:val="0"/>
        <w:spacing w:line="600" w:lineRule="exact"/>
        <w:textAlignment w:val="baseline"/>
        <w:rPr>
          <w:rFonts w:hint="default" w:ascii="Times New Roman" w:hAnsi="Times New Roman" w:eastAsia="仿宋_GB2312" w:cs="Times New Roman"/>
        </w:rPr>
      </w:pPr>
    </w:p>
    <w:p>
      <w:pPr>
        <w:pageBreakBefore w:val="0"/>
        <w:kinsoku/>
        <w:wordWrap/>
        <w:overflowPunct/>
        <w:topLinePunct w:val="0"/>
        <w:autoSpaceDE w:val="0"/>
        <w:autoSpaceDN w:val="0"/>
        <w:bidi w:val="0"/>
        <w:adjustRightInd w:val="0"/>
        <w:snapToGrid w:val="0"/>
        <w:spacing w:line="600" w:lineRule="exact"/>
        <w:textAlignment w:val="baseline"/>
        <w:rPr>
          <w:rFonts w:hint="default" w:ascii="Times New Roman" w:hAnsi="Times New Roman" w:eastAsia="仿宋_GB2312" w:cs="Times New Roman"/>
        </w:rPr>
      </w:pP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506"/>
        <w:jc w:val="both"/>
        <w:textAlignment w:val="baseline"/>
        <w:rPr>
          <w:rFonts w:hint="default" w:ascii="Times New Roman" w:hAnsi="Times New Roman" w:eastAsia="仿宋_GB2312" w:cs="Times New Roman"/>
          <w:snapToGrid w:val="0"/>
          <w:color w:val="000000"/>
          <w:spacing w:val="0"/>
          <w:w w:val="100"/>
          <w:kern w:val="0"/>
          <w:sz w:val="32"/>
          <w:szCs w:val="32"/>
        </w:rPr>
      </w:pPr>
      <w:r>
        <w:rPr>
          <w:rFonts w:hint="eastAsia" w:ascii="Times New Roman" w:hAnsi="Times New Roman" w:eastAsia="仿宋_GB2312" w:cs="Times New Roman"/>
          <w:snapToGrid w:val="0"/>
          <w:color w:val="000000"/>
          <w:spacing w:val="0"/>
          <w:w w:val="100"/>
          <w:kern w:val="0"/>
          <w:sz w:val="32"/>
          <w:szCs w:val="32"/>
          <w:lang w:eastAsia="zh-CN"/>
        </w:rPr>
        <w:t>一、</w:t>
      </w:r>
      <w:r>
        <w:rPr>
          <w:rFonts w:hint="default" w:ascii="Times New Roman" w:hAnsi="Times New Roman" w:eastAsia="仿宋_GB2312" w:cs="Times New Roman"/>
          <w:snapToGrid w:val="0"/>
          <w:color w:val="000000"/>
          <w:spacing w:val="0"/>
          <w:w w:val="100"/>
          <w:kern w:val="0"/>
          <w:sz w:val="32"/>
          <w:szCs w:val="32"/>
        </w:rPr>
        <w:t>市（州）口岸物流主管部门申报文件和市（州）</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1088" w:firstLineChars="340"/>
        <w:jc w:val="both"/>
        <w:textAlignment w:val="baseline"/>
        <w:rPr>
          <w:rFonts w:hint="default" w:ascii="Times New Roman" w:hAnsi="Times New Roman" w:eastAsia="仿宋_GB2312" w:cs="Times New Roman"/>
          <w:snapToGrid w:val="0"/>
          <w:color w:val="000000"/>
          <w:spacing w:val="0"/>
          <w:w w:val="100"/>
          <w:kern w:val="0"/>
          <w:sz w:val="32"/>
          <w:szCs w:val="32"/>
        </w:rPr>
      </w:pPr>
      <w:r>
        <w:rPr>
          <w:rFonts w:hint="default" w:ascii="Times New Roman" w:hAnsi="Times New Roman" w:eastAsia="仿宋_GB2312" w:cs="Times New Roman"/>
          <w:snapToGrid w:val="0"/>
          <w:color w:val="000000"/>
          <w:spacing w:val="0"/>
          <w:w w:val="100"/>
          <w:kern w:val="0"/>
          <w:sz w:val="32"/>
          <w:szCs w:val="32"/>
        </w:rPr>
        <w:t>政府同意文件</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506"/>
        <w:jc w:val="both"/>
        <w:textAlignment w:val="baseline"/>
        <w:rPr>
          <w:rFonts w:hint="default" w:ascii="Times New Roman" w:hAnsi="Times New Roman" w:eastAsia="仿宋_GB2312" w:cs="Times New Roman"/>
          <w:snapToGrid w:val="0"/>
          <w:color w:val="000000"/>
          <w:spacing w:val="0"/>
          <w:w w:val="100"/>
          <w:kern w:val="0"/>
          <w:sz w:val="32"/>
          <w:szCs w:val="32"/>
        </w:rPr>
      </w:pPr>
      <w:r>
        <w:rPr>
          <w:rFonts w:hint="eastAsia" w:ascii="Times New Roman" w:hAnsi="Times New Roman" w:eastAsia="仿宋_GB2312" w:cs="Times New Roman"/>
          <w:snapToGrid w:val="0"/>
          <w:color w:val="000000"/>
          <w:spacing w:val="0"/>
          <w:w w:val="100"/>
          <w:kern w:val="0"/>
          <w:sz w:val="32"/>
          <w:szCs w:val="32"/>
          <w:lang w:eastAsia="zh-CN"/>
        </w:rPr>
        <w:t>二、</w:t>
      </w:r>
      <w:r>
        <w:rPr>
          <w:rFonts w:hint="default" w:ascii="Times New Roman" w:hAnsi="Times New Roman" w:eastAsia="仿宋_GB2312" w:cs="Times New Roman"/>
          <w:snapToGrid w:val="0"/>
          <w:color w:val="000000"/>
          <w:spacing w:val="0"/>
          <w:w w:val="100"/>
          <w:kern w:val="0"/>
          <w:sz w:val="32"/>
          <w:szCs w:val="32"/>
        </w:rPr>
        <w:t>冷链物流发展示范市建设实施方案</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506"/>
        <w:jc w:val="both"/>
        <w:textAlignment w:val="baseline"/>
        <w:rPr>
          <w:rFonts w:hint="default" w:ascii="Times New Roman" w:hAnsi="Times New Roman" w:eastAsia="仿宋_GB2312" w:cs="Times New Roman"/>
          <w:snapToGrid w:val="0"/>
          <w:color w:val="000000"/>
          <w:spacing w:val="0"/>
          <w:w w:val="100"/>
          <w:kern w:val="0"/>
          <w:sz w:val="32"/>
          <w:szCs w:val="32"/>
        </w:rPr>
      </w:pPr>
      <w:r>
        <w:rPr>
          <w:rFonts w:hint="eastAsia" w:ascii="Times New Roman" w:hAnsi="Times New Roman" w:eastAsia="仿宋_GB2312" w:cs="Times New Roman"/>
          <w:snapToGrid w:val="0"/>
          <w:color w:val="000000"/>
          <w:spacing w:val="0"/>
          <w:w w:val="100"/>
          <w:kern w:val="0"/>
          <w:sz w:val="32"/>
          <w:szCs w:val="32"/>
          <w:lang w:eastAsia="zh-CN"/>
        </w:rPr>
        <w:t>三、</w:t>
      </w:r>
      <w:r>
        <w:rPr>
          <w:rFonts w:hint="default" w:ascii="Times New Roman" w:hAnsi="Times New Roman" w:eastAsia="仿宋_GB2312" w:cs="Times New Roman"/>
          <w:snapToGrid w:val="0"/>
          <w:color w:val="000000"/>
          <w:spacing w:val="0"/>
          <w:w w:val="100"/>
          <w:kern w:val="0"/>
          <w:sz w:val="32"/>
          <w:szCs w:val="32"/>
        </w:rPr>
        <w:t>省级促进现代物流业发展专项资金绩效目标表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506"/>
        <w:jc w:val="both"/>
        <w:textAlignment w:val="baseline"/>
        <w:rPr>
          <w:rFonts w:hint="eastAsia" w:ascii="Times New Roman" w:hAnsi="Times New Roman" w:eastAsia="仿宋_GB2312" w:cs="Times New Roman"/>
          <w:snapToGrid w:val="0"/>
          <w:color w:val="000000"/>
          <w:spacing w:val="0"/>
          <w:w w:val="100"/>
          <w:kern w:val="0"/>
          <w:sz w:val="32"/>
          <w:szCs w:val="32"/>
          <w:lang w:eastAsia="zh-CN"/>
        </w:rPr>
      </w:pPr>
      <w:r>
        <w:rPr>
          <w:rFonts w:hint="eastAsia" w:ascii="Times New Roman" w:hAnsi="Times New Roman" w:eastAsia="仿宋_GB2312" w:cs="Times New Roman"/>
          <w:snapToGrid w:val="0"/>
          <w:color w:val="000000"/>
          <w:spacing w:val="0"/>
          <w:w w:val="100"/>
          <w:kern w:val="0"/>
          <w:sz w:val="32"/>
          <w:szCs w:val="32"/>
          <w:lang w:eastAsia="zh-CN"/>
        </w:rPr>
        <w:t>四、</w:t>
      </w:r>
      <w:r>
        <w:rPr>
          <w:rFonts w:hint="eastAsia" w:ascii="Times New Roman" w:hAnsi="Times New Roman" w:eastAsia="仿宋_GB2312" w:cs="Times New Roman"/>
          <w:snapToGrid w:val="0"/>
          <w:color w:val="000000"/>
          <w:spacing w:val="0"/>
          <w:w w:val="100"/>
          <w:kern w:val="0"/>
          <w:sz w:val="32"/>
          <w:szCs w:val="32"/>
          <w:lang w:val="en-US" w:eastAsia="zh-CN"/>
        </w:rPr>
        <w:t>支撑项目基本情况汇总表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506"/>
        <w:jc w:val="both"/>
        <w:textAlignment w:val="baseline"/>
        <w:rPr>
          <w:rFonts w:hint="default" w:ascii="Times New Roman" w:hAnsi="Times New Roman" w:eastAsia="仿宋_GB2312" w:cs="Times New Roman"/>
          <w:snapToGrid w:val="0"/>
          <w:color w:val="000000"/>
          <w:spacing w:val="0"/>
          <w:w w:val="100"/>
          <w:kern w:val="0"/>
          <w:sz w:val="32"/>
          <w:szCs w:val="32"/>
        </w:rPr>
      </w:pPr>
      <w:r>
        <w:rPr>
          <w:rFonts w:hint="eastAsia" w:ascii="Times New Roman" w:hAnsi="Times New Roman" w:eastAsia="仿宋_GB2312" w:cs="Times New Roman"/>
          <w:snapToGrid w:val="0"/>
          <w:color w:val="000000"/>
          <w:spacing w:val="0"/>
          <w:w w:val="100"/>
          <w:kern w:val="0"/>
          <w:sz w:val="32"/>
          <w:szCs w:val="32"/>
          <w:lang w:eastAsia="zh-CN"/>
        </w:rPr>
        <w:t>五</w:t>
      </w:r>
      <w:r>
        <w:rPr>
          <w:rFonts w:hint="default" w:ascii="Times New Roman" w:hAnsi="Times New Roman" w:eastAsia="仿宋_GB2312" w:cs="Times New Roman"/>
          <w:snapToGrid w:val="0"/>
          <w:color w:val="000000"/>
          <w:spacing w:val="0"/>
          <w:w w:val="100"/>
          <w:kern w:val="0"/>
          <w:sz w:val="32"/>
          <w:szCs w:val="32"/>
          <w:lang w:eastAsia="zh-CN"/>
        </w:rPr>
        <w:t>、</w:t>
      </w:r>
      <w:r>
        <w:rPr>
          <w:rFonts w:hint="default" w:ascii="Times New Roman" w:hAnsi="Times New Roman" w:eastAsia="仿宋_GB2312" w:cs="Times New Roman"/>
          <w:snapToGrid w:val="0"/>
          <w:color w:val="000000"/>
          <w:spacing w:val="0"/>
          <w:w w:val="100"/>
          <w:kern w:val="0"/>
          <w:sz w:val="32"/>
          <w:szCs w:val="32"/>
        </w:rPr>
        <w:t>相关证明材料</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506"/>
        <w:jc w:val="both"/>
        <w:textAlignment w:val="baseline"/>
        <w:rPr>
          <w:rFonts w:hint="default" w:ascii="Times New Roman" w:hAnsi="Times New Roman" w:eastAsia="仿宋_GB2312" w:cs="Times New Roman"/>
          <w:snapToGrid w:val="0"/>
          <w:color w:val="000000"/>
          <w:spacing w:val="0"/>
          <w:w w:val="100"/>
          <w:kern w:val="0"/>
          <w:sz w:val="32"/>
          <w:szCs w:val="32"/>
        </w:rPr>
      </w:pPr>
      <w:r>
        <w:rPr>
          <w:rFonts w:hint="eastAsia" w:ascii="Times New Roman" w:hAnsi="Times New Roman" w:eastAsia="仿宋_GB2312" w:cs="Times New Roman"/>
          <w:snapToGrid w:val="0"/>
          <w:color w:val="000000"/>
          <w:spacing w:val="0"/>
          <w:w w:val="100"/>
          <w:kern w:val="0"/>
          <w:sz w:val="32"/>
          <w:szCs w:val="32"/>
          <w:lang w:eastAsia="zh-CN"/>
        </w:rPr>
        <w:t>六、</w:t>
      </w:r>
      <w:r>
        <w:rPr>
          <w:rFonts w:hint="default" w:ascii="Times New Roman" w:hAnsi="Times New Roman" w:eastAsia="仿宋_GB2312" w:cs="Times New Roman"/>
          <w:snapToGrid w:val="0"/>
          <w:color w:val="000000"/>
          <w:spacing w:val="0"/>
          <w:w w:val="100"/>
          <w:kern w:val="0"/>
          <w:sz w:val="32"/>
          <w:szCs w:val="32"/>
        </w:rPr>
        <w:t>其他需要说明的情况</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506"/>
        <w:jc w:val="both"/>
        <w:textAlignment w:val="baseline"/>
        <w:rPr>
          <w:rFonts w:hint="default" w:ascii="Times New Roman" w:hAnsi="Times New Roman" w:eastAsia="仿宋_GB2312" w:cs="Times New Roman"/>
          <w:snapToGrid w:val="0"/>
          <w:color w:val="000000"/>
          <w:spacing w:val="0"/>
          <w:w w:val="100"/>
          <w:kern w:val="0"/>
          <w:sz w:val="32"/>
          <w:szCs w:val="32"/>
        </w:rPr>
        <w:sectPr>
          <w:footerReference r:id="rId7" w:type="default"/>
          <w:pgSz w:w="11890" w:h="16980"/>
          <w:pgMar w:top="400" w:right="1373" w:bottom="1323" w:left="1783" w:header="0" w:footer="1099" w:gutter="0"/>
          <w:pgNumType w:fmt="decimal"/>
          <w:cols w:space="720" w:num="1"/>
        </w:sectPr>
      </w:pPr>
    </w:p>
    <w:p>
      <w:pPr>
        <w:pageBreakBefore w:val="0"/>
        <w:kinsoku/>
        <w:wordWrap/>
        <w:overflowPunct/>
        <w:topLinePunct w:val="0"/>
        <w:bidi w:val="0"/>
        <w:spacing w:line="60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简体" w:cs="Times New Roman"/>
          <w:snapToGrid w:val="0"/>
          <w:color w:val="000000"/>
          <w:kern w:val="0"/>
          <w:sz w:val="44"/>
          <w:szCs w:val="44"/>
          <w:lang w:eastAsia="zh-CN"/>
        </w:rPr>
      </w:pPr>
      <w:r>
        <w:rPr>
          <w:rFonts w:hint="default" w:ascii="Times New Roman" w:hAnsi="Times New Roman" w:eastAsia="方正小标宋简体" w:cs="Times New Roman"/>
          <w:snapToGrid w:val="0"/>
          <w:color w:val="000000"/>
          <w:kern w:val="0"/>
          <w:sz w:val="44"/>
          <w:szCs w:val="44"/>
          <w:lang w:eastAsia="zh-CN"/>
        </w:rPr>
        <w:t>冷链物流发展示范市建设实施方案</w:t>
      </w:r>
    </w:p>
    <w:p>
      <w:pPr>
        <w:pageBreakBefore w:val="0"/>
        <w:kinsoku/>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（参考格式）</w:t>
      </w:r>
    </w:p>
    <w:p>
      <w:pPr>
        <w:pStyle w:val="3"/>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0"/>
        <w:rPr>
          <w:rFonts w:hint="default" w:ascii="Times New Roman" w:hAnsi="Times New Roman" w:eastAsia="黑体" w:cs="Times New Roman"/>
          <w:b w:val="0"/>
          <w:bCs/>
          <w:snapToGrid/>
          <w:color w:val="000000"/>
          <w:sz w:val="32"/>
          <w:szCs w:val="32"/>
          <w:lang w:eastAsia="zh-CN" w:bidi="ar-SA"/>
        </w:rPr>
      </w:pPr>
    </w:p>
    <w:p>
      <w:pPr>
        <w:pStyle w:val="3"/>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0"/>
        <w:rPr>
          <w:rFonts w:hint="default" w:ascii="Times New Roman" w:hAnsi="Times New Roman" w:eastAsia="黑体" w:cs="Times New Roman"/>
          <w:b w:val="0"/>
          <w:bCs/>
          <w:snapToGrid/>
          <w:color w:val="000000"/>
          <w:sz w:val="32"/>
          <w:szCs w:val="32"/>
          <w:lang w:eastAsia="zh-CN" w:bidi="ar-SA"/>
        </w:rPr>
      </w:pPr>
      <w:r>
        <w:rPr>
          <w:rFonts w:hint="eastAsia" w:ascii="Times New Roman" w:hAnsi="Times New Roman" w:eastAsia="黑体" w:cs="Times New Roman"/>
          <w:b w:val="0"/>
          <w:bCs/>
          <w:snapToGrid/>
          <w:color w:val="000000"/>
          <w:sz w:val="32"/>
          <w:szCs w:val="32"/>
          <w:lang w:eastAsia="zh-CN" w:bidi="ar-SA"/>
        </w:rPr>
        <w:t>一、</w:t>
      </w:r>
      <w:r>
        <w:rPr>
          <w:rFonts w:hint="default" w:ascii="Times New Roman" w:hAnsi="Times New Roman" w:eastAsia="黑体" w:cs="Times New Roman"/>
          <w:b w:val="0"/>
          <w:bCs/>
          <w:snapToGrid/>
          <w:color w:val="000000"/>
          <w:sz w:val="32"/>
          <w:szCs w:val="32"/>
          <w:lang w:eastAsia="zh-CN" w:bidi="ar-SA"/>
        </w:rPr>
        <w:t>基本情况</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（一）地区产业发展现状。</w:t>
      </w:r>
      <w:r>
        <w:rPr>
          <w:rFonts w:hint="default" w:ascii="Times New Roman" w:hAnsi="Times New Roman" w:eastAsia="仿宋_GB2312" w:cs="Times New Roman"/>
          <w:sz w:val="32"/>
          <w:szCs w:val="32"/>
        </w:rPr>
        <w:t>申报地经济社会基本情况介绍，包括但不限于地区经济、主要产业发展情况、交通、人口、社会消费品零售总额及增长情况等。</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（二）冷链物流体系发展现状。</w:t>
      </w:r>
      <w:r>
        <w:rPr>
          <w:rFonts w:hint="default" w:ascii="Times New Roman" w:hAnsi="Times New Roman" w:eastAsia="仿宋_GB2312" w:cs="Times New Roman"/>
          <w:sz w:val="32"/>
          <w:szCs w:val="32"/>
        </w:rPr>
        <w:t>从冷链物流业发展基本和冷链物流需求情况两个方面展开。冷链物流业发展基础情况，包括但不限于行业发展总体情况（产地低温处理率、冷链流通率、农产品流通腐损率、人均冷库容量、每万人冷藏车保有量等）、空间分布、冷链物流基础设施情况（建设和运营情况、主体服务功能、目标市场）、主要冷链物流企业、冷链设备（冷藏车、冷藏箱等）、冷链标准化和信息化情况和地方已出台的相关政策规划等。冷链物流需求情况，包括但不限于主要品种的产量（交易量、消费量）、产额（交易额、消费额）及其增长情况、本地消费所占比重、冷链产品跨区域集散情况（品类、主要方向、规模）；冷链物流设施设备缺口和冷链物流需求等。</w:t>
      </w:r>
    </w:p>
    <w:p>
      <w:pPr>
        <w:pStyle w:val="3"/>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0"/>
        <w:rPr>
          <w:rFonts w:hint="default" w:ascii="Times New Roman" w:hAnsi="Times New Roman" w:eastAsia="黑体" w:cs="Times New Roman"/>
          <w:b w:val="0"/>
          <w:bCs/>
          <w:snapToGrid/>
          <w:color w:val="000000"/>
          <w:sz w:val="32"/>
          <w:szCs w:val="32"/>
          <w:lang w:eastAsia="zh-CN" w:bidi="ar-SA"/>
        </w:rPr>
      </w:pPr>
      <w:r>
        <w:rPr>
          <w:rFonts w:hint="eastAsia" w:ascii="Times New Roman" w:hAnsi="Times New Roman" w:eastAsia="黑体" w:cs="Times New Roman"/>
          <w:b w:val="0"/>
          <w:bCs/>
          <w:snapToGrid/>
          <w:color w:val="000000"/>
          <w:sz w:val="32"/>
          <w:szCs w:val="32"/>
          <w:lang w:eastAsia="zh-CN" w:bidi="ar-SA"/>
        </w:rPr>
        <w:t>二、</w:t>
      </w:r>
      <w:r>
        <w:rPr>
          <w:rFonts w:hint="default" w:ascii="Times New Roman" w:hAnsi="Times New Roman" w:eastAsia="黑体" w:cs="Times New Roman"/>
          <w:b w:val="0"/>
          <w:bCs/>
          <w:snapToGrid/>
          <w:color w:val="000000"/>
          <w:sz w:val="32"/>
          <w:szCs w:val="32"/>
          <w:lang w:eastAsia="zh-CN" w:bidi="ar-SA"/>
        </w:rPr>
        <w:t>总体思路</w:t>
      </w:r>
    </w:p>
    <w:p>
      <w:pPr>
        <w:pageBreakBefore w:val="0"/>
        <w:kinsoku/>
        <w:wordWrap/>
        <w:overflowPunct/>
        <w:topLinePunct w:val="0"/>
        <w:bidi w:val="0"/>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（一）发展思路。</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rPr>
        <w:sectPr>
          <w:footerReference r:id="rId8" w:type="default"/>
          <w:pgSz w:w="11900" w:h="16840"/>
          <w:pgMar w:top="1440" w:right="1800" w:bottom="1440" w:left="1800" w:header="851" w:footer="992" w:gutter="0"/>
          <w:pgNumType w:fmt="decimal"/>
          <w:cols w:space="425" w:num="1"/>
          <w:docGrid w:type="lines" w:linePitch="312" w:charSpace="0"/>
        </w:sectPr>
      </w:pPr>
      <w:r>
        <w:rPr>
          <w:rFonts w:hint="default" w:ascii="Times New Roman" w:hAnsi="Times New Roman" w:eastAsia="楷体_GB2312" w:cs="Times New Roman"/>
          <w:sz w:val="32"/>
          <w:szCs w:val="32"/>
        </w:rPr>
        <w:t>（二）基本原则。</w:t>
      </w:r>
      <w:r>
        <w:rPr>
          <w:rFonts w:hint="default" w:ascii="Times New Roman" w:hAnsi="Times New Roman" w:eastAsia="仿宋_GB2312" w:cs="Times New Roman"/>
          <w:sz w:val="32"/>
          <w:szCs w:val="32"/>
        </w:rPr>
        <w:t>以市场驱动，政府引导，整合存量、</w:t>
      </w:r>
    </w:p>
    <w:p>
      <w:pPr>
        <w:pageBreakBefore w:val="0"/>
        <w:kinsoku/>
        <w:wordWrap/>
        <w:overflowPunct/>
        <w:topLinePunct w:val="0"/>
        <w:bidi w:val="0"/>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补齐短板，试点示范、区域协同，绿色智慧、安全可靠为基本原则，</w:t>
      </w:r>
      <w:r>
        <w:rPr>
          <w:rFonts w:hint="default" w:ascii="Times New Roman" w:hAnsi="Times New Roman" w:eastAsia="仿宋_GB2312" w:cs="Times New Roman"/>
          <w:b w:val="0"/>
          <w:bCs w:val="0"/>
          <w:sz w:val="32"/>
          <w:szCs w:val="22"/>
          <w:highlight w:val="none"/>
          <w:lang w:val="en-US" w:eastAsia="zh-CN"/>
        </w:rPr>
        <w:t>强化能级提升和效益体现</w:t>
      </w:r>
      <w:r>
        <w:rPr>
          <w:rFonts w:hint="eastAsia" w:ascii="Times New Roman" w:hAnsi="Times New Roman" w:eastAsia="仿宋_GB2312" w:cs="Times New Roman"/>
          <w:b w:val="0"/>
          <w:bCs w:val="0"/>
          <w:sz w:val="32"/>
          <w:szCs w:val="22"/>
          <w:highlight w:val="none"/>
          <w:lang w:val="en-US" w:eastAsia="zh-CN"/>
        </w:rPr>
        <w:t>，</w:t>
      </w:r>
      <w:r>
        <w:rPr>
          <w:rFonts w:hint="default" w:ascii="Times New Roman" w:hAnsi="Times New Roman" w:eastAsia="仿宋_GB2312" w:cs="Times New Roman"/>
          <w:sz w:val="32"/>
          <w:szCs w:val="32"/>
        </w:rPr>
        <w:t>推动冷链物流高质量发展。</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（三）建设目标。</w:t>
      </w:r>
      <w:r>
        <w:rPr>
          <w:rFonts w:hint="default" w:ascii="Times New Roman" w:hAnsi="Times New Roman" w:eastAsia="仿宋_GB2312" w:cs="Times New Roman"/>
          <w:sz w:val="32"/>
          <w:szCs w:val="32"/>
        </w:rPr>
        <w:t>结合国家、省市（州）相关规划及当地发展需要，制定清晰、合理、可量化的目标，促进当地冷链物流高质量发展。包括：冷链物流整体情况（产地低温处理率、冷链流通率、产品腐损率等），冷链基础设施设备（冷链物流静态库容量（万立方米/万吨）、人均冷库容量（立方米/人）、冷藏车（其中新能源车辆数量）和冷藏箱数量、人均冷藏车（辆/万人）等），冷链通道（冷链专线、冷链班列、冷链航班开行目标等），冷链主体（规上冷链企业营收增速等），冷链信息化建设（公共冷链物流信息平台建设目标等），冷链物流标准化建设（标准化体系建设和推广目标等），应急冷链物流保障（完成应急冷链物流三级节点体系建设、城市应急冷链物流响应速度等）。</w:t>
      </w:r>
    </w:p>
    <w:p>
      <w:pPr>
        <w:pStyle w:val="3"/>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0"/>
        <w:rPr>
          <w:rFonts w:hint="default" w:ascii="Times New Roman" w:hAnsi="Times New Roman" w:eastAsia="黑体" w:cs="Times New Roman"/>
          <w:b w:val="0"/>
          <w:bCs/>
          <w:snapToGrid/>
          <w:color w:val="000000"/>
          <w:sz w:val="32"/>
          <w:szCs w:val="32"/>
          <w:lang w:eastAsia="zh-CN" w:bidi="ar-SA"/>
        </w:rPr>
      </w:pPr>
      <w:r>
        <w:rPr>
          <w:rFonts w:hint="eastAsia" w:ascii="Times New Roman" w:hAnsi="Times New Roman" w:eastAsia="黑体" w:cs="Times New Roman"/>
          <w:b w:val="0"/>
          <w:bCs/>
          <w:snapToGrid/>
          <w:color w:val="000000"/>
          <w:sz w:val="32"/>
          <w:szCs w:val="32"/>
          <w:lang w:eastAsia="zh-CN" w:bidi="ar-SA"/>
        </w:rPr>
        <w:t>三、</w:t>
      </w:r>
      <w:r>
        <w:rPr>
          <w:rFonts w:hint="default" w:ascii="Times New Roman" w:hAnsi="Times New Roman" w:eastAsia="黑体" w:cs="Times New Roman"/>
          <w:b w:val="0"/>
          <w:bCs/>
          <w:snapToGrid/>
          <w:color w:val="000000"/>
          <w:sz w:val="32"/>
          <w:szCs w:val="32"/>
          <w:lang w:eastAsia="zh-CN" w:bidi="ar-SA"/>
        </w:rPr>
        <w:t>主要任务</w:t>
      </w:r>
    </w:p>
    <w:p>
      <w:pPr>
        <w:pStyle w:val="9"/>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sz w:val="32"/>
          <w:szCs w:val="22"/>
          <w:highlight w:val="none"/>
          <w:lang w:val="en-US" w:eastAsia="zh-CN"/>
        </w:rPr>
      </w:pPr>
      <w:r>
        <w:rPr>
          <w:rFonts w:hint="eastAsia" w:eastAsia="仿宋_GB2312" w:cs="Times New Roman"/>
          <w:b w:val="0"/>
          <w:bCs w:val="0"/>
          <w:sz w:val="32"/>
          <w:szCs w:val="22"/>
          <w:highlight w:val="none"/>
          <w:lang w:val="en-US" w:eastAsia="zh-CN"/>
        </w:rPr>
        <w:t>根据</w:t>
      </w:r>
      <w:r>
        <w:rPr>
          <w:rFonts w:hint="default" w:ascii="Times New Roman" w:hAnsi="Times New Roman" w:eastAsia="仿宋_GB2312" w:cs="Times New Roman"/>
          <w:b w:val="0"/>
          <w:bCs w:val="0"/>
          <w:sz w:val="32"/>
          <w:szCs w:val="22"/>
          <w:highlight w:val="none"/>
          <w:lang w:val="en-US" w:eastAsia="zh-CN"/>
        </w:rPr>
        <w:t>地区经济产业</w:t>
      </w:r>
      <w:r>
        <w:rPr>
          <w:rFonts w:hint="eastAsia" w:eastAsia="仿宋_GB2312" w:cs="Times New Roman"/>
          <w:b w:val="0"/>
          <w:bCs w:val="0"/>
          <w:sz w:val="32"/>
          <w:szCs w:val="22"/>
          <w:highlight w:val="none"/>
          <w:lang w:val="en-US" w:eastAsia="zh-CN"/>
        </w:rPr>
        <w:t>、物流发展实际情况及区域定位，</w:t>
      </w:r>
      <w:r>
        <w:rPr>
          <w:rFonts w:hint="default" w:ascii="Times New Roman" w:hAnsi="Times New Roman" w:eastAsia="仿宋_GB2312" w:cs="Times New Roman"/>
          <w:b w:val="0"/>
          <w:bCs w:val="0"/>
          <w:sz w:val="32"/>
          <w:szCs w:val="22"/>
          <w:highlight w:val="none"/>
          <w:lang w:val="en-US" w:eastAsia="zh-CN"/>
        </w:rPr>
        <w:t>从冷链物流节点体系、冷链物流运输、冷链物流设备、冷链物流主体、冷链物流标准化和应急冷链物流体系等方面阐述做强冷链物流的主要举措和任务。</w:t>
      </w:r>
    </w:p>
    <w:p>
      <w:pPr>
        <w:pStyle w:val="3"/>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0"/>
        <w:rPr>
          <w:rFonts w:hint="default" w:ascii="Times New Roman" w:hAnsi="Times New Roman" w:eastAsia="黑体" w:cs="Times New Roman"/>
          <w:b w:val="0"/>
          <w:bCs/>
          <w:snapToGrid/>
          <w:color w:val="000000"/>
          <w:sz w:val="32"/>
          <w:szCs w:val="32"/>
          <w:lang w:eastAsia="zh-CN" w:bidi="ar-SA"/>
        </w:rPr>
      </w:pPr>
      <w:r>
        <w:rPr>
          <w:rFonts w:hint="eastAsia" w:ascii="Times New Roman" w:hAnsi="Times New Roman" w:eastAsia="黑体" w:cs="Times New Roman"/>
          <w:b w:val="0"/>
          <w:bCs/>
          <w:snapToGrid/>
          <w:color w:val="000000"/>
          <w:sz w:val="32"/>
          <w:szCs w:val="32"/>
          <w:lang w:eastAsia="zh-CN" w:bidi="ar-SA"/>
        </w:rPr>
        <w:t>四、</w:t>
      </w:r>
      <w:r>
        <w:rPr>
          <w:rFonts w:hint="default" w:ascii="Times New Roman" w:hAnsi="Times New Roman" w:eastAsia="黑体" w:cs="Times New Roman"/>
          <w:b w:val="0"/>
          <w:bCs/>
          <w:snapToGrid/>
          <w:color w:val="000000"/>
          <w:sz w:val="32"/>
          <w:szCs w:val="32"/>
          <w:lang w:eastAsia="zh-CN" w:bidi="ar-SA"/>
        </w:rPr>
        <w:t>重点项目及实施计划</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rPr>
        <w:sectPr>
          <w:footerReference r:id="rId9" w:type="default"/>
          <w:pgSz w:w="11900" w:h="16840"/>
          <w:pgMar w:top="1440" w:right="1800" w:bottom="1440" w:left="1800" w:header="851" w:footer="992" w:gutter="0"/>
          <w:pgNumType w:fmt="decimal"/>
          <w:cols w:space="425" w:num="1"/>
          <w:docGrid w:type="lines" w:linePitch="312" w:charSpace="0"/>
        </w:sectPr>
      </w:pPr>
      <w:r>
        <w:rPr>
          <w:rFonts w:hint="default" w:ascii="Times New Roman" w:hAnsi="Times New Roman" w:eastAsia="楷体_GB2312" w:cs="Times New Roman"/>
          <w:sz w:val="32"/>
          <w:szCs w:val="32"/>
        </w:rPr>
        <w:t>（一）</w:t>
      </w:r>
      <w:r>
        <w:rPr>
          <w:rFonts w:hint="eastAsia" w:ascii="Times New Roman" w:hAnsi="Times New Roman" w:eastAsia="楷体_GB2312" w:cs="Times New Roman"/>
          <w:sz w:val="32"/>
          <w:szCs w:val="32"/>
          <w:lang w:eastAsia="zh-CN"/>
        </w:rPr>
        <w:t>支撑</w:t>
      </w:r>
      <w:r>
        <w:rPr>
          <w:rFonts w:hint="default" w:ascii="Times New Roman" w:hAnsi="Times New Roman" w:eastAsia="楷体_GB2312" w:cs="Times New Roman"/>
          <w:sz w:val="32"/>
          <w:szCs w:val="32"/>
        </w:rPr>
        <w:t>项目基本情况。</w:t>
      </w:r>
      <w:r>
        <w:rPr>
          <w:rFonts w:hint="eastAsia" w:eastAsia="仿宋_GB2312" w:cs="Times New Roman"/>
          <w:b w:val="0"/>
          <w:bCs w:val="0"/>
          <w:snapToGrid/>
          <w:kern w:val="2"/>
          <w:sz w:val="32"/>
          <w:szCs w:val="32"/>
          <w:lang w:val="en-US" w:eastAsia="zh-CN" w:bidi="ar-SA"/>
        </w:rPr>
        <w:t>立足已建、在建和拟建项目，</w:t>
      </w:r>
      <w:r>
        <w:rPr>
          <w:rFonts w:hint="default" w:ascii="Times New Roman" w:hAnsi="Times New Roman" w:eastAsia="仿宋_GB2312" w:cs="Times New Roman"/>
          <w:sz w:val="32"/>
          <w:szCs w:val="32"/>
        </w:rPr>
        <w:t>在</w:t>
      </w:r>
      <w:r>
        <w:rPr>
          <w:rFonts w:hint="eastAsia" w:ascii="Times New Roman" w:hAnsi="Times New Roman" w:eastAsia="仿宋_GB2312" w:cs="Times New Roman"/>
          <w:sz w:val="32"/>
          <w:szCs w:val="32"/>
          <w:lang w:eastAsia="zh-CN"/>
        </w:rPr>
        <w:t>全</w:t>
      </w:r>
      <w:r>
        <w:rPr>
          <w:rFonts w:hint="default" w:ascii="Times New Roman" w:hAnsi="Times New Roman" w:eastAsia="仿宋_GB2312" w:cs="Times New Roman"/>
          <w:sz w:val="32"/>
          <w:szCs w:val="32"/>
        </w:rPr>
        <w:t>市（州）范围内选取建设规模大、辐射范围广、冷链流</w:t>
      </w:r>
    </w:p>
    <w:p>
      <w:pPr>
        <w:pageBreakBefore w:val="0"/>
        <w:kinsoku/>
        <w:wordWrap/>
        <w:overflowPunct/>
        <w:topLinePunct w:val="0"/>
        <w:bidi w:val="0"/>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通率大的项目</w:t>
      </w:r>
      <w:r>
        <w:rPr>
          <w:rFonts w:hint="eastAsia" w:ascii="Times New Roman" w:hAnsi="Times New Roman" w:eastAsia="仿宋_GB2312" w:cs="Times New Roman"/>
          <w:sz w:val="32"/>
          <w:szCs w:val="32"/>
          <w:lang w:eastAsia="zh-CN"/>
        </w:rPr>
        <w:t>纳入体系建设。</w:t>
      </w:r>
      <w:r>
        <w:rPr>
          <w:rFonts w:hint="eastAsia" w:ascii="Times New Roman" w:hAnsi="Times New Roman" w:eastAsia="仿宋_GB2312" w:cs="Times New Roman"/>
          <w:b w:val="0"/>
          <w:bCs w:val="0"/>
          <w:snapToGrid/>
          <w:kern w:val="2"/>
          <w:sz w:val="32"/>
          <w:szCs w:val="32"/>
          <w:lang w:val="en-US" w:eastAsia="zh-CN" w:bidi="ar-SA"/>
        </w:rPr>
        <w:t>支撑项目不少于3个，原则上不超过5个</w:t>
      </w:r>
      <w:r>
        <w:rPr>
          <w:rFonts w:hint="eastAsia" w:eastAsia="仿宋_GB2312" w:cs="Times New Roman"/>
          <w:b w:val="0"/>
          <w:bCs w:val="0"/>
          <w:snapToGrid/>
          <w:kern w:val="2"/>
          <w:sz w:val="32"/>
          <w:szCs w:val="32"/>
          <w:lang w:val="en-US" w:eastAsia="zh-CN" w:bidi="ar-SA"/>
        </w:rPr>
        <w:t>，需阐述冷链物流体系建设构成情况、增量项目与存量项目之间的关联度</w:t>
      </w:r>
      <w:r>
        <w:rPr>
          <w:rFonts w:hint="eastAsia" w:ascii="Times New Roman" w:hAnsi="Times New Roman" w:eastAsia="仿宋_GB2312" w:cs="Times New Roman"/>
          <w:b w:val="0"/>
          <w:bCs w:val="0"/>
          <w:snapToGrid/>
          <w:kern w:val="2"/>
          <w:sz w:val="32"/>
          <w:szCs w:val="32"/>
          <w:lang w:val="en-US" w:eastAsia="zh-CN" w:bidi="ar-SA"/>
        </w:rPr>
        <w:t>，各项目在体系中发挥不同功能作用</w:t>
      </w:r>
      <w:r>
        <w:rPr>
          <w:rFonts w:hint="eastAsia" w:eastAsia="仿宋_GB2312" w:cs="Times New Roman"/>
          <w:b w:val="0"/>
          <w:bCs w:val="0"/>
          <w:snapToGrid/>
          <w:kern w:val="2"/>
          <w:sz w:val="32"/>
          <w:szCs w:val="32"/>
          <w:lang w:val="en-US" w:eastAsia="zh-CN" w:bidi="ar-SA"/>
        </w:rPr>
        <w:t>。</w:t>
      </w:r>
      <w:r>
        <w:rPr>
          <w:rFonts w:hint="default" w:ascii="Times New Roman" w:hAnsi="Times New Roman" w:eastAsia="仿宋_GB2312" w:cs="Times New Roman"/>
          <w:sz w:val="32"/>
          <w:szCs w:val="32"/>
        </w:rPr>
        <w:t>重点介绍</w:t>
      </w:r>
      <w:r>
        <w:rPr>
          <w:rFonts w:hint="eastAsia" w:ascii="Times New Roman" w:hAnsi="Times New Roman" w:eastAsia="仿宋_GB2312" w:cs="Times New Roman"/>
          <w:sz w:val="32"/>
          <w:szCs w:val="32"/>
          <w:lang w:eastAsia="zh-CN"/>
        </w:rPr>
        <w:t>各支撑</w:t>
      </w:r>
      <w:r>
        <w:rPr>
          <w:rFonts w:hint="default" w:ascii="Times New Roman" w:hAnsi="Times New Roman" w:eastAsia="仿宋_GB2312" w:cs="Times New Roman"/>
          <w:sz w:val="32"/>
          <w:szCs w:val="32"/>
        </w:rPr>
        <w:t>项目的建设内容、投资规模、总体定位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在体系建设中发挥的作用、辐射范围、功能业态，</w:t>
      </w:r>
      <w:r>
        <w:rPr>
          <w:rFonts w:hint="eastAsia" w:ascii="Times New Roman" w:hAnsi="Times New Roman" w:eastAsia="仿宋_GB2312" w:cs="Times New Roman"/>
          <w:sz w:val="32"/>
          <w:szCs w:val="32"/>
          <w:lang w:eastAsia="zh-CN"/>
        </w:rPr>
        <w:t>实施</w:t>
      </w:r>
      <w:r>
        <w:rPr>
          <w:rFonts w:hint="default" w:ascii="Times New Roman" w:hAnsi="Times New Roman" w:eastAsia="仿宋_GB2312" w:cs="Times New Roman"/>
          <w:sz w:val="32"/>
          <w:szCs w:val="32"/>
        </w:rPr>
        <w:t>主体经营情况，冷链专线/班列/航班（若有）开行情况，冷链信息平台使用情况（若有），冷链标准化、绿色化和智能化情况等。</w:t>
      </w:r>
    </w:p>
    <w:p>
      <w:pPr>
        <w:pageBreakBefore w:val="0"/>
        <w:kinsoku/>
        <w:wordWrap/>
        <w:overflowPunct/>
        <w:topLinePunct w:val="0"/>
        <w:bidi w:val="0"/>
        <w:spacing w:line="60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）实施计划安排。</w:t>
      </w:r>
      <w:r>
        <w:rPr>
          <w:rFonts w:hint="default" w:ascii="Times New Roman" w:hAnsi="Times New Roman" w:eastAsia="仿宋_GB2312" w:cs="Times New Roman"/>
          <w:sz w:val="32"/>
          <w:szCs w:val="32"/>
        </w:rPr>
        <w:t>明确各项</w:t>
      </w:r>
      <w:r>
        <w:rPr>
          <w:rFonts w:hint="eastAsia" w:ascii="Times New Roman" w:hAnsi="Times New Roman" w:eastAsia="仿宋_GB2312" w:cs="Times New Roman"/>
          <w:sz w:val="32"/>
          <w:szCs w:val="32"/>
          <w:lang w:eastAsia="zh-CN"/>
        </w:rPr>
        <w:t>目主要建设内容、建设期限、计划投资、进度安排、资金来源等，</w:t>
      </w:r>
      <w:r>
        <w:rPr>
          <w:rFonts w:hint="default" w:ascii="Times New Roman" w:hAnsi="Times New Roman" w:eastAsia="仿宋_GB2312" w:cs="Times New Roman"/>
          <w:sz w:val="32"/>
          <w:szCs w:val="32"/>
        </w:rPr>
        <w:t>确保工作可推动</w:t>
      </w:r>
      <w:r>
        <w:rPr>
          <w:rFonts w:hint="eastAsia" w:ascii="Times New Roman" w:hAnsi="Times New Roman" w:eastAsia="仿宋_GB2312" w:cs="Times New Roman"/>
          <w:sz w:val="32"/>
          <w:szCs w:val="32"/>
          <w:lang w:eastAsia="zh-CN"/>
        </w:rPr>
        <w:t>。</w:t>
      </w:r>
    </w:p>
    <w:p>
      <w:pPr>
        <w:pStyle w:val="3"/>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0"/>
        <w:rPr>
          <w:rFonts w:hint="default" w:ascii="Times New Roman" w:hAnsi="Times New Roman" w:eastAsia="黑体" w:cs="Times New Roman"/>
          <w:b w:val="0"/>
          <w:bCs/>
          <w:snapToGrid/>
          <w:color w:val="000000"/>
          <w:sz w:val="32"/>
          <w:szCs w:val="32"/>
          <w:lang w:eastAsia="zh-CN" w:bidi="ar-SA"/>
        </w:rPr>
      </w:pPr>
      <w:r>
        <w:rPr>
          <w:rFonts w:hint="eastAsia" w:ascii="Times New Roman" w:hAnsi="Times New Roman" w:eastAsia="黑体" w:cs="Times New Roman"/>
          <w:b w:val="0"/>
          <w:bCs/>
          <w:snapToGrid/>
          <w:color w:val="000000"/>
          <w:sz w:val="32"/>
          <w:szCs w:val="32"/>
          <w:lang w:eastAsia="zh-CN" w:bidi="ar-SA"/>
        </w:rPr>
        <w:t>五、</w:t>
      </w:r>
      <w:r>
        <w:rPr>
          <w:rFonts w:hint="default" w:ascii="Times New Roman" w:hAnsi="Times New Roman" w:eastAsia="黑体" w:cs="Times New Roman"/>
          <w:b w:val="0"/>
          <w:bCs/>
          <w:snapToGrid/>
          <w:color w:val="000000"/>
          <w:sz w:val="32"/>
          <w:szCs w:val="32"/>
          <w:lang w:eastAsia="zh-CN" w:bidi="ar-SA"/>
        </w:rPr>
        <w:t>保障措施</w:t>
      </w:r>
    </w:p>
    <w:p>
      <w:pPr>
        <w:pageBreakBefore w:val="0"/>
        <w:kinsoku/>
        <w:wordWrap/>
        <w:overflowPunct/>
        <w:topLinePunct w:val="0"/>
        <w:bidi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从政府角度，明确试点建设所需的政策、服务、制度的保障措施。从企业角度明确试点建设所需的资金、管理、人才、项目等保障措施。</w:t>
      </w:r>
    </w:p>
    <w:p>
      <w:pPr>
        <w:pStyle w:val="3"/>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0"/>
        <w:rPr>
          <w:rFonts w:hint="default" w:ascii="Times New Roman" w:hAnsi="Times New Roman" w:eastAsia="黑体" w:cs="Times New Roman"/>
          <w:b w:val="0"/>
          <w:bCs/>
          <w:snapToGrid/>
          <w:color w:val="000000"/>
          <w:sz w:val="32"/>
          <w:szCs w:val="32"/>
          <w:lang w:eastAsia="zh-CN" w:bidi="ar-SA"/>
        </w:rPr>
      </w:pPr>
      <w:r>
        <w:rPr>
          <w:rFonts w:hint="default" w:ascii="Times New Roman" w:hAnsi="Times New Roman" w:eastAsia="黑体" w:cs="Times New Roman"/>
          <w:b w:val="0"/>
          <w:bCs/>
          <w:snapToGrid/>
          <w:color w:val="000000"/>
          <w:sz w:val="32"/>
          <w:szCs w:val="32"/>
          <w:lang w:eastAsia="zh-CN" w:bidi="ar-SA"/>
        </w:rPr>
        <w:t xml:space="preserve">六、预期成效 </w:t>
      </w:r>
    </w:p>
    <w:p>
      <w:pPr>
        <w:pageBreakBefore w:val="0"/>
        <w:kinsoku/>
        <w:wordWrap/>
        <w:overflowPunct/>
        <w:topLinePunct w:val="0"/>
        <w:bidi w:val="0"/>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围绕支撑构建以国内大循环为主体、国内国际双循环相互促进的新发展格局，结合试点城市经济社会发展战略定位，阐述冷链物流体系示范建设的预期成效，</w:t>
      </w:r>
      <w:r>
        <w:rPr>
          <w:rFonts w:hint="eastAsia" w:ascii="Times New Roman" w:hAnsi="Times New Roman" w:eastAsia="仿宋_GB2312" w:cs="Times New Roman"/>
          <w:sz w:val="32"/>
          <w:szCs w:val="32"/>
          <w:lang w:eastAsia="zh-CN"/>
        </w:rPr>
        <w:t>如</w:t>
      </w:r>
      <w:r>
        <w:rPr>
          <w:rFonts w:hint="default" w:ascii="Times New Roman" w:hAnsi="Times New Roman" w:eastAsia="仿宋_GB2312" w:cs="Times New Roman"/>
          <w:sz w:val="32"/>
          <w:szCs w:val="32"/>
        </w:rPr>
        <w:t>试点市</w:t>
      </w:r>
      <w:r>
        <w:rPr>
          <w:rFonts w:hint="eastAsia" w:ascii="Times New Roman" w:hAnsi="Times New Roman" w:eastAsia="仿宋_GB2312" w:cs="Times New Roman"/>
          <w:sz w:val="32"/>
          <w:szCs w:val="32"/>
          <w:lang w:eastAsia="zh-CN"/>
        </w:rPr>
        <w:t>（州）</w:t>
      </w:r>
      <w:r>
        <w:rPr>
          <w:rFonts w:hint="default" w:ascii="Times New Roman" w:hAnsi="Times New Roman" w:eastAsia="仿宋_GB2312" w:cs="Times New Roman"/>
          <w:sz w:val="32"/>
          <w:szCs w:val="32"/>
        </w:rPr>
        <w:t>未来主要农产品品种（含季节性轮换品种）预期年周转量，支撑辐射范围内冷链产品生产（交易、消费）、保障冷链产品供应和市场价格稳定、减少农产品流通损耗，保障食品（药品）消费安排，促进冷链物流与农产品生产、流通、消费融合发展的预期成效等。</w:t>
      </w:r>
    </w:p>
    <w:p>
      <w:pPr>
        <w:pStyle w:val="2"/>
        <w:jc w:val="both"/>
        <w:rPr>
          <w:rFonts w:hint="eastAsia" w:ascii="Times New Roman" w:hAnsi="Times New Roman" w:eastAsia="仿宋_GB2312" w:cs="Times New Roman"/>
          <w:sz w:val="32"/>
          <w:szCs w:val="32"/>
          <w:lang w:eastAsia="zh-CN"/>
        </w:rPr>
        <w:sectPr>
          <w:footerReference r:id="rId10" w:type="default"/>
          <w:pgSz w:w="11900" w:h="16840"/>
          <w:pgMar w:top="1440" w:right="1800" w:bottom="1440" w:left="1800" w:header="851" w:footer="992" w:gutter="0"/>
          <w:pgNumType w:fmt="decimal"/>
          <w:cols w:space="425" w:num="1"/>
          <w:docGrid w:type="lines" w:linePitch="312" w:charSpace="0"/>
        </w:sectPr>
      </w:pPr>
    </w:p>
    <w:p>
      <w:pPr>
        <w:pStyle w:val="2"/>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pStyle w:val="2"/>
        <w:rPr>
          <w:rFonts w:hint="default" w:ascii="Times New Roman" w:hAnsi="Times New Roman" w:eastAsia="仿宋_GB2312" w:cs="Times New Roman"/>
          <w:sz w:val="32"/>
          <w:szCs w:val="32"/>
        </w:rPr>
      </w:pPr>
    </w:p>
    <w:tbl>
      <w:tblPr>
        <w:tblStyle w:val="10"/>
        <w:tblW w:w="9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449"/>
        <w:gridCol w:w="1814"/>
        <w:gridCol w:w="1372"/>
        <w:gridCol w:w="1245"/>
        <w:gridCol w:w="2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57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36"/>
                <w:szCs w:val="36"/>
                <w:u w:val="none"/>
                <w14:textFill>
                  <w14:solidFill>
                    <w14:schemeClr w14:val="tx1"/>
                  </w14:solidFill>
                </w14:textFill>
              </w:rPr>
            </w:pPr>
            <w:r>
              <w:rPr>
                <w:rFonts w:hint="eastAsia" w:ascii="宋体" w:hAnsi="宋体" w:eastAsia="宋体" w:cs="宋体"/>
                <w:b/>
                <w:i w:val="0"/>
                <w:color w:val="000000" w:themeColor="text1"/>
                <w:kern w:val="0"/>
                <w:sz w:val="36"/>
                <w:szCs w:val="36"/>
                <w:u w:val="none"/>
                <w:lang w:val="en-US" w:eastAsia="zh-CN" w:bidi="ar"/>
                <w14:textFill>
                  <w14:solidFill>
                    <w14:schemeClr w14:val="tx1"/>
                  </w14:solidFill>
                </w14:textFill>
              </w:rPr>
              <w:t>省级促进现代物流业发展专项资金绩效目标表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57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nil"/>
              <w:bottom w:val="single" w:color="000000" w:sz="4" w:space="0"/>
              <w:right w:val="nil"/>
            </w:tcBorders>
            <w:shd w:val="clear" w:color="auto" w:fill="FFFFFF"/>
            <w:noWrap/>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c>
          <w:tcPr>
            <w:tcW w:w="1449" w:type="dxa"/>
            <w:tcBorders>
              <w:top w:val="nil"/>
              <w:left w:val="nil"/>
              <w:bottom w:val="single" w:color="000000" w:sz="4" w:space="0"/>
              <w:right w:val="nil"/>
            </w:tcBorders>
            <w:shd w:val="clear" w:color="auto" w:fill="FFFFFF"/>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c>
          <w:tcPr>
            <w:tcW w:w="1814" w:type="dxa"/>
            <w:tcBorders>
              <w:top w:val="nil"/>
              <w:left w:val="nil"/>
              <w:bottom w:val="nil"/>
              <w:right w:val="nil"/>
            </w:tcBorders>
            <w:shd w:val="clear" w:color="auto" w:fill="FFFFFF"/>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c>
          <w:tcPr>
            <w:tcW w:w="1372" w:type="dxa"/>
            <w:tcBorders>
              <w:top w:val="nil"/>
              <w:left w:val="nil"/>
              <w:bottom w:val="nil"/>
              <w:right w:val="nil"/>
            </w:tcBorders>
            <w:shd w:val="clear" w:color="auto" w:fill="FFFFFF"/>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c>
          <w:tcPr>
            <w:tcW w:w="1245" w:type="dxa"/>
            <w:tcBorders>
              <w:top w:val="nil"/>
              <w:left w:val="nil"/>
              <w:bottom w:val="nil"/>
              <w:right w:val="nil"/>
            </w:tcBorders>
            <w:shd w:val="clear" w:color="auto" w:fill="FFFFFF"/>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c>
          <w:tcPr>
            <w:tcW w:w="2610" w:type="dxa"/>
            <w:tcBorders>
              <w:top w:val="nil"/>
              <w:left w:val="nil"/>
              <w:bottom w:val="nil"/>
              <w:right w:val="nil"/>
            </w:tcBorders>
            <w:shd w:val="clear" w:color="auto" w:fill="FFFFFF"/>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52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体系（示范市）名称</w:t>
            </w:r>
          </w:p>
        </w:tc>
        <w:tc>
          <w:tcPr>
            <w:tcW w:w="704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52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申报主体</w:t>
            </w:r>
          </w:p>
        </w:tc>
        <w:tc>
          <w:tcPr>
            <w:tcW w:w="704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529" w:type="dxa"/>
            <w:gridSpan w:val="2"/>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体系（示范市）投资规模</w:t>
            </w:r>
          </w:p>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（万元）</w:t>
            </w:r>
          </w:p>
        </w:tc>
        <w:tc>
          <w:tcPr>
            <w:tcW w:w="704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总</w:t>
            </w:r>
          </w:p>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体</w:t>
            </w:r>
          </w:p>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目</w:t>
            </w:r>
          </w:p>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标</w:t>
            </w:r>
          </w:p>
        </w:tc>
        <w:tc>
          <w:tcPr>
            <w:tcW w:w="849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Style w:val="23"/>
                <w:color w:val="000000" w:themeColor="text1"/>
                <w:lang w:val="en-US" w:eastAsia="zh-CN" w:bidi="ar"/>
                <w14:textFill>
                  <w14:solidFill>
                    <w14:schemeClr w14:val="tx1"/>
                  </w14:solidFill>
                </w14:textFill>
              </w:rPr>
            </w:pPr>
            <w:r>
              <w:rPr>
                <w:rStyle w:val="23"/>
                <w:color w:val="000000" w:themeColor="text1"/>
                <w:lang w:val="en-US" w:eastAsia="zh-CN" w:bidi="ar"/>
                <w14:textFill>
                  <w14:solidFill>
                    <w14:schemeClr w14:val="tx1"/>
                  </w14:solidFill>
                </w14:textFill>
              </w:rPr>
              <w:t>目标1：</w:t>
            </w:r>
          </w:p>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Style w:val="24"/>
                <w:color w:val="000000" w:themeColor="text1"/>
                <w:lang w:val="en-US" w:eastAsia="zh-CN" w:bidi="ar"/>
                <w14:textFill>
                  <w14:solidFill>
                    <w14:schemeClr w14:val="tx1"/>
                  </w14:solidFill>
                </w14:textFill>
              </w:rPr>
              <w:t>目标2：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绩</w:t>
            </w:r>
          </w:p>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效</w:t>
            </w:r>
          </w:p>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w:t>
            </w:r>
          </w:p>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标</w:t>
            </w:r>
          </w:p>
        </w:tc>
        <w:tc>
          <w:tcPr>
            <w:tcW w:w="14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一级</w:t>
            </w:r>
          </w:p>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指标</w:t>
            </w: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二级指标</w:t>
            </w:r>
          </w:p>
        </w:tc>
        <w:tc>
          <w:tcPr>
            <w:tcW w:w="26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三级指标</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4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产出指标</w:t>
            </w:r>
          </w:p>
        </w:tc>
        <w:tc>
          <w:tcPr>
            <w:tcW w:w="1814"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p>
        </w:tc>
        <w:tc>
          <w:tcPr>
            <w:tcW w:w="2617"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814"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p>
        </w:tc>
        <w:tc>
          <w:tcPr>
            <w:tcW w:w="2617"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814"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p>
        </w:tc>
        <w:tc>
          <w:tcPr>
            <w:tcW w:w="2617"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814"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p>
        </w:tc>
        <w:tc>
          <w:tcPr>
            <w:tcW w:w="2617"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4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效益指标</w:t>
            </w:r>
          </w:p>
        </w:tc>
        <w:tc>
          <w:tcPr>
            <w:tcW w:w="1814"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p>
        </w:tc>
        <w:tc>
          <w:tcPr>
            <w:tcW w:w="2617"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4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满意度指标</w:t>
            </w: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p>
        </w:tc>
        <w:tc>
          <w:tcPr>
            <w:tcW w:w="2617"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p>
        </w:tc>
      </w:tr>
    </w:tbl>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eastAsia" w:ascii="Times New Roman" w:hAnsi="Times New Roman" w:eastAsia="仿宋_GB2312" w:cs="Times New Roman"/>
          <w:spacing w:val="5"/>
          <w:sz w:val="32"/>
          <w:szCs w:val="32"/>
          <w:lang w:eastAsia="zh-CN"/>
        </w:rPr>
        <w:sectPr>
          <w:footerReference r:id="rId11" w:type="default"/>
          <w:pgSz w:w="11900" w:h="16840"/>
          <w:pgMar w:top="1440" w:right="1800" w:bottom="1440" w:left="1800" w:header="851" w:footer="992" w:gutter="0"/>
          <w:pgNumType w:fmt="decimal"/>
          <w:cols w:space="425" w:num="1"/>
          <w:docGrid w:type="lines" w:linePitch="312" w:charSpace="0"/>
        </w:sectPr>
      </w:pPr>
    </w:p>
    <w:p>
      <w:pPr>
        <w:pStyle w:val="2"/>
        <w:rPr>
          <w:rFonts w:hint="eastAsia" w:ascii="黑体" w:hAnsi="黑体" w:eastAsia="黑体" w:cs="黑体"/>
          <w:spacing w:val="5"/>
          <w:sz w:val="32"/>
          <w:szCs w:val="32"/>
          <w:lang w:val="en-US" w:eastAsia="zh-CN"/>
        </w:rPr>
      </w:pPr>
      <w:r>
        <w:rPr>
          <w:rFonts w:hint="eastAsia" w:ascii="黑体" w:hAnsi="黑体" w:eastAsia="黑体" w:cs="黑体"/>
          <w:spacing w:val="5"/>
          <w:sz w:val="32"/>
          <w:szCs w:val="32"/>
          <w:lang w:eastAsia="zh-CN"/>
        </w:rPr>
        <w:t>附件</w:t>
      </w:r>
      <w:r>
        <w:rPr>
          <w:rFonts w:hint="eastAsia" w:ascii="黑体" w:hAnsi="黑体" w:eastAsia="黑体" w:cs="黑体"/>
          <w:spacing w:val="5"/>
          <w:sz w:val="32"/>
          <w:szCs w:val="32"/>
          <w:lang w:val="en-US" w:eastAsia="zh-CN"/>
        </w:rPr>
        <w:t>4</w:t>
      </w:r>
    </w:p>
    <w:p>
      <w:pPr>
        <w:pStyle w:val="2"/>
        <w:rPr>
          <w:rFonts w:hint="eastAsia" w:ascii="Times New Roman" w:hAnsi="Times New Roman" w:eastAsia="仿宋_GB2312" w:cs="Times New Roman"/>
          <w:spacing w:val="5"/>
          <w:sz w:val="32"/>
          <w:szCs w:val="32"/>
          <w:lang w:val="en-US" w:eastAsia="zh-CN"/>
        </w:rPr>
      </w:pPr>
    </w:p>
    <w:p>
      <w:pPr>
        <w:pStyle w:val="2"/>
        <w:jc w:val="center"/>
        <w:rPr>
          <w:rFonts w:hint="eastAsia" w:ascii="方正小标宋简体" w:hAnsi="方正小标宋简体" w:eastAsia="方正小标宋简体" w:cs="方正小标宋简体"/>
          <w:spacing w:val="5"/>
          <w:sz w:val="36"/>
          <w:szCs w:val="36"/>
          <w:lang w:val="en-US" w:eastAsia="zh-CN"/>
        </w:rPr>
      </w:pPr>
      <w:r>
        <w:rPr>
          <w:rFonts w:hint="eastAsia" w:ascii="方正小标宋简体" w:hAnsi="方正小标宋简体" w:eastAsia="方正小标宋简体" w:cs="方正小标宋简体"/>
          <w:spacing w:val="5"/>
          <w:sz w:val="36"/>
          <w:szCs w:val="36"/>
          <w:lang w:val="en-US" w:eastAsia="zh-CN"/>
        </w:rPr>
        <w:t>支撑项目基本情况汇总表</w:t>
      </w:r>
    </w:p>
    <w:p>
      <w:pPr>
        <w:pStyle w:val="2"/>
        <w:jc w:val="both"/>
        <w:rPr>
          <w:rFonts w:hint="eastAsia" w:ascii="Times New Roman" w:hAnsi="Times New Roman" w:eastAsia="仿宋_GB2312" w:cs="Times New Roman"/>
          <w:spacing w:val="5"/>
          <w:sz w:val="32"/>
          <w:szCs w:val="32"/>
          <w:lang w:val="en-US" w:eastAsia="zh-CN"/>
        </w:rPr>
      </w:pPr>
    </w:p>
    <w:tbl>
      <w:tblPr>
        <w:tblStyle w:val="11"/>
        <w:tblW w:w="13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476"/>
        <w:gridCol w:w="1475"/>
        <w:gridCol w:w="1500"/>
        <w:gridCol w:w="2543"/>
        <w:gridCol w:w="1454"/>
        <w:gridCol w:w="1419"/>
        <w:gridCol w:w="1488"/>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793"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b/>
                <w:bCs/>
                <w:sz w:val="28"/>
                <w:szCs w:val="28"/>
                <w:highlight w:val="none"/>
                <w:vertAlign w:val="baseline"/>
                <w:lang w:val="en-US" w:eastAsia="zh-CN"/>
              </w:rPr>
            </w:pPr>
            <w:r>
              <w:rPr>
                <w:rFonts w:hint="eastAsia" w:eastAsia="仿宋_GB2312" w:cs="Times New Roman"/>
                <w:b/>
                <w:bCs/>
                <w:sz w:val="28"/>
                <w:szCs w:val="28"/>
                <w:highlight w:val="none"/>
                <w:vertAlign w:val="baseline"/>
                <w:lang w:val="en-US" w:eastAsia="zh-CN"/>
              </w:rPr>
              <w:t>序号</w:t>
            </w:r>
          </w:p>
        </w:tc>
        <w:tc>
          <w:tcPr>
            <w:tcW w:w="1476"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b/>
                <w:bCs/>
                <w:sz w:val="28"/>
                <w:szCs w:val="28"/>
                <w:highlight w:val="none"/>
                <w:vertAlign w:val="baseline"/>
                <w:lang w:val="en-US" w:eastAsia="zh-CN"/>
              </w:rPr>
            </w:pPr>
            <w:r>
              <w:rPr>
                <w:rFonts w:hint="default" w:ascii="Times New Roman" w:hAnsi="Times New Roman" w:eastAsia="仿宋_GB2312" w:cs="Times New Roman"/>
                <w:b/>
                <w:bCs/>
                <w:sz w:val="28"/>
                <w:szCs w:val="28"/>
                <w:highlight w:val="none"/>
                <w:vertAlign w:val="baseline"/>
                <w:lang w:val="en-US" w:eastAsia="zh-CN"/>
              </w:rPr>
              <w:t>项目名称</w:t>
            </w:r>
          </w:p>
        </w:tc>
        <w:tc>
          <w:tcPr>
            <w:tcW w:w="1475"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b/>
                <w:bCs/>
                <w:sz w:val="28"/>
                <w:szCs w:val="28"/>
                <w:highlight w:val="none"/>
                <w:vertAlign w:val="baseline"/>
                <w:lang w:val="en-US" w:eastAsia="zh-CN"/>
              </w:rPr>
            </w:pPr>
            <w:r>
              <w:rPr>
                <w:rFonts w:hint="default" w:ascii="Times New Roman" w:hAnsi="Times New Roman" w:eastAsia="仿宋_GB2312" w:cs="Times New Roman"/>
                <w:b/>
                <w:bCs/>
                <w:sz w:val="28"/>
                <w:szCs w:val="28"/>
                <w:highlight w:val="none"/>
                <w:vertAlign w:val="baseline"/>
                <w:lang w:val="en-US" w:eastAsia="zh-CN"/>
              </w:rPr>
              <w:t>实施主体</w:t>
            </w:r>
          </w:p>
        </w:tc>
        <w:tc>
          <w:tcPr>
            <w:tcW w:w="1500"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eastAsia" w:eastAsia="仿宋_GB2312" w:cs="Times New Roman"/>
                <w:b/>
                <w:bCs/>
                <w:sz w:val="28"/>
                <w:szCs w:val="28"/>
                <w:highlight w:val="none"/>
                <w:vertAlign w:val="baseline"/>
                <w:lang w:val="en-US" w:eastAsia="zh-CN"/>
              </w:rPr>
            </w:pPr>
            <w:r>
              <w:rPr>
                <w:rFonts w:hint="eastAsia" w:eastAsia="仿宋_GB2312" w:cs="Times New Roman"/>
                <w:b/>
                <w:bCs/>
                <w:sz w:val="28"/>
                <w:szCs w:val="28"/>
                <w:highlight w:val="none"/>
                <w:vertAlign w:val="baseline"/>
                <w:lang w:val="en-US" w:eastAsia="zh-CN"/>
              </w:rPr>
              <w:t>资产总额</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eastAsia" w:eastAsia="仿宋_GB2312" w:cs="Times New Roman"/>
                <w:b/>
                <w:bCs/>
                <w:sz w:val="28"/>
                <w:szCs w:val="28"/>
                <w:highlight w:val="none"/>
                <w:vertAlign w:val="baseline"/>
                <w:lang w:val="en-US" w:eastAsia="zh-CN"/>
              </w:rPr>
            </w:pPr>
            <w:r>
              <w:rPr>
                <w:rFonts w:hint="eastAsia" w:eastAsia="仿宋_GB2312" w:cs="Times New Roman"/>
                <w:b/>
                <w:bCs/>
                <w:sz w:val="28"/>
                <w:szCs w:val="28"/>
                <w:highlight w:val="none"/>
                <w:vertAlign w:val="baseline"/>
                <w:lang w:val="en-US" w:eastAsia="zh-CN"/>
              </w:rPr>
              <w:t>（万元）</w:t>
            </w:r>
          </w:p>
        </w:tc>
        <w:tc>
          <w:tcPr>
            <w:tcW w:w="2543"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eastAsia" w:eastAsia="仿宋_GB2312" w:cs="Times New Roman"/>
                <w:b/>
                <w:bCs/>
                <w:sz w:val="28"/>
                <w:szCs w:val="28"/>
                <w:highlight w:val="none"/>
                <w:vertAlign w:val="baseline"/>
                <w:lang w:val="en-US" w:eastAsia="zh-CN"/>
              </w:rPr>
            </w:pPr>
            <w:r>
              <w:rPr>
                <w:rFonts w:hint="eastAsia" w:eastAsia="仿宋_GB2312" w:cs="Times New Roman"/>
                <w:b/>
                <w:bCs/>
                <w:sz w:val="28"/>
                <w:szCs w:val="28"/>
                <w:highlight w:val="none"/>
                <w:vertAlign w:val="baseline"/>
                <w:lang w:val="en-US" w:eastAsia="zh-CN"/>
              </w:rPr>
              <w:t>建设内容</w:t>
            </w:r>
          </w:p>
        </w:tc>
        <w:tc>
          <w:tcPr>
            <w:tcW w:w="1454"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eastAsia" w:eastAsia="仿宋_GB2312" w:cs="Times New Roman"/>
                <w:b/>
                <w:bCs/>
                <w:sz w:val="28"/>
                <w:szCs w:val="28"/>
                <w:highlight w:val="none"/>
                <w:vertAlign w:val="baseline"/>
                <w:lang w:val="en-US" w:eastAsia="zh-CN"/>
              </w:rPr>
            </w:pPr>
            <w:r>
              <w:rPr>
                <w:rFonts w:hint="default" w:ascii="Times New Roman" w:hAnsi="Times New Roman" w:eastAsia="仿宋_GB2312" w:cs="Times New Roman"/>
                <w:b/>
                <w:bCs/>
                <w:sz w:val="28"/>
                <w:szCs w:val="28"/>
                <w:highlight w:val="none"/>
                <w:vertAlign w:val="baseline"/>
                <w:lang w:val="en-US" w:eastAsia="zh-CN"/>
              </w:rPr>
              <w:t>建设期限</w:t>
            </w:r>
          </w:p>
        </w:tc>
        <w:tc>
          <w:tcPr>
            <w:tcW w:w="1419"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eastAsia" w:eastAsia="仿宋_GB2312" w:cs="Times New Roman"/>
                <w:b/>
                <w:bCs/>
                <w:sz w:val="28"/>
                <w:szCs w:val="28"/>
                <w:highlight w:val="none"/>
                <w:vertAlign w:val="baseline"/>
                <w:lang w:val="en-US" w:eastAsia="zh-CN"/>
              </w:rPr>
            </w:pPr>
            <w:r>
              <w:rPr>
                <w:rFonts w:hint="eastAsia" w:eastAsia="仿宋_GB2312" w:cs="Times New Roman"/>
                <w:b/>
                <w:bCs/>
                <w:sz w:val="28"/>
                <w:szCs w:val="28"/>
                <w:highlight w:val="none"/>
                <w:vertAlign w:val="baseline"/>
                <w:lang w:val="en-US" w:eastAsia="zh-CN"/>
              </w:rPr>
              <w:t>进度安排</w:t>
            </w:r>
          </w:p>
        </w:tc>
        <w:tc>
          <w:tcPr>
            <w:tcW w:w="1488"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b/>
                <w:bCs/>
                <w:sz w:val="28"/>
                <w:szCs w:val="28"/>
                <w:highlight w:val="none"/>
                <w:vertAlign w:val="baseline"/>
                <w:lang w:val="en-US" w:eastAsia="zh-CN"/>
              </w:rPr>
            </w:pPr>
            <w:r>
              <w:rPr>
                <w:rFonts w:hint="default" w:ascii="Times New Roman" w:hAnsi="Times New Roman" w:eastAsia="仿宋_GB2312" w:cs="Times New Roman"/>
                <w:b/>
                <w:bCs/>
                <w:sz w:val="28"/>
                <w:szCs w:val="28"/>
                <w:highlight w:val="none"/>
                <w:vertAlign w:val="baseline"/>
                <w:lang w:val="en-US" w:eastAsia="zh-CN"/>
              </w:rPr>
              <w:t>计划投资</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default" w:ascii="Times New Roman" w:hAnsi="Times New Roman" w:eastAsia="仿宋_GB2312" w:cs="Times New Roman"/>
                <w:b/>
                <w:bCs/>
                <w:sz w:val="28"/>
                <w:szCs w:val="28"/>
                <w:highlight w:val="none"/>
                <w:vertAlign w:val="baseline"/>
                <w:lang w:val="en-US" w:eastAsia="zh-CN"/>
              </w:rPr>
            </w:pPr>
            <w:r>
              <w:rPr>
                <w:rFonts w:hint="eastAsia" w:eastAsia="仿宋_GB2312" w:cs="Times New Roman"/>
                <w:b/>
                <w:bCs/>
                <w:sz w:val="28"/>
                <w:szCs w:val="28"/>
                <w:highlight w:val="none"/>
                <w:vertAlign w:val="baseline"/>
                <w:lang w:val="en-US" w:eastAsia="zh-CN"/>
              </w:rPr>
              <w:t>（万元）</w:t>
            </w:r>
          </w:p>
        </w:tc>
        <w:tc>
          <w:tcPr>
            <w:tcW w:w="1650"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eastAsia="仿宋_GB2312" w:cs="Times New Roman"/>
                <w:b/>
                <w:bCs/>
                <w:sz w:val="28"/>
                <w:szCs w:val="28"/>
                <w:highlight w:val="none"/>
                <w:vertAlign w:val="baseline"/>
                <w:lang w:val="en-US" w:eastAsia="zh-CN"/>
              </w:rPr>
            </w:pPr>
            <w:r>
              <w:rPr>
                <w:rFonts w:hint="eastAsia" w:eastAsia="仿宋_GB2312" w:cs="Times New Roman"/>
                <w:b/>
                <w:bCs/>
                <w:sz w:val="28"/>
                <w:szCs w:val="28"/>
                <w:highlight w:val="none"/>
                <w:vertAlign w:val="baseline"/>
                <w:lang w:val="en-US" w:eastAsia="zh-CN"/>
              </w:rPr>
              <w:t>已完成投资（万元）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93"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sz w:val="32"/>
                <w:szCs w:val="22"/>
                <w:highlight w:val="none"/>
                <w:vertAlign w:val="baseline"/>
                <w:lang w:val="en-US" w:eastAsia="zh-CN"/>
              </w:rPr>
            </w:pPr>
            <w:r>
              <w:rPr>
                <w:rFonts w:hint="eastAsia" w:eastAsia="仿宋_GB2312" w:cs="Times New Roman"/>
                <w:b w:val="0"/>
                <w:bCs w:val="0"/>
                <w:sz w:val="32"/>
                <w:szCs w:val="22"/>
                <w:highlight w:val="none"/>
                <w:vertAlign w:val="baseline"/>
                <w:lang w:val="en-US" w:eastAsia="zh-CN"/>
              </w:rPr>
              <w:t>1</w:t>
            </w:r>
          </w:p>
        </w:tc>
        <w:tc>
          <w:tcPr>
            <w:tcW w:w="1476"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sz w:val="32"/>
                <w:szCs w:val="22"/>
                <w:highlight w:val="none"/>
                <w:vertAlign w:val="baseline"/>
                <w:lang w:val="en-US" w:eastAsia="zh-CN"/>
              </w:rPr>
            </w:pPr>
          </w:p>
        </w:tc>
        <w:tc>
          <w:tcPr>
            <w:tcW w:w="1475"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b w:val="0"/>
                <w:bCs w:val="0"/>
                <w:sz w:val="22"/>
                <w:szCs w:val="18"/>
                <w:highlight w:val="none"/>
                <w:vertAlign w:val="baseline"/>
                <w:lang w:val="en-US" w:eastAsia="zh-CN"/>
              </w:rPr>
            </w:pPr>
          </w:p>
        </w:tc>
        <w:tc>
          <w:tcPr>
            <w:tcW w:w="1500"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default" w:ascii="Times New Roman" w:hAnsi="Times New Roman" w:eastAsia="仿宋_GB2312" w:cs="Times New Roman"/>
                <w:b w:val="0"/>
                <w:bCs w:val="0"/>
                <w:sz w:val="22"/>
                <w:szCs w:val="18"/>
                <w:highlight w:val="none"/>
                <w:vertAlign w:val="baseline"/>
                <w:lang w:val="en-US" w:eastAsia="zh-CN"/>
              </w:rPr>
            </w:pPr>
          </w:p>
        </w:tc>
        <w:tc>
          <w:tcPr>
            <w:tcW w:w="2543"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default" w:ascii="Times New Roman" w:hAnsi="Times New Roman" w:eastAsia="仿宋_GB2312" w:cs="Times New Roman"/>
                <w:b w:val="0"/>
                <w:bCs w:val="0"/>
                <w:sz w:val="22"/>
                <w:szCs w:val="18"/>
                <w:highlight w:val="none"/>
                <w:vertAlign w:val="baseline"/>
                <w:lang w:val="en-US" w:eastAsia="zh-CN"/>
              </w:rPr>
            </w:pPr>
          </w:p>
        </w:tc>
        <w:tc>
          <w:tcPr>
            <w:tcW w:w="1454"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default" w:ascii="Times New Roman" w:hAnsi="Times New Roman" w:eastAsia="仿宋_GB2312" w:cs="Times New Roman"/>
                <w:b w:val="0"/>
                <w:bCs w:val="0"/>
                <w:sz w:val="22"/>
                <w:szCs w:val="18"/>
                <w:highlight w:val="none"/>
                <w:vertAlign w:val="baseline"/>
                <w:lang w:val="en-US" w:eastAsia="zh-CN"/>
              </w:rPr>
            </w:pPr>
          </w:p>
        </w:tc>
        <w:tc>
          <w:tcPr>
            <w:tcW w:w="1419"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default" w:ascii="Times New Roman" w:hAnsi="Times New Roman" w:eastAsia="仿宋_GB2312" w:cs="Times New Roman"/>
                <w:b w:val="0"/>
                <w:bCs w:val="0"/>
                <w:sz w:val="22"/>
                <w:szCs w:val="18"/>
                <w:highlight w:val="none"/>
                <w:vertAlign w:val="baseline"/>
                <w:lang w:val="en-US" w:eastAsia="zh-CN"/>
              </w:rPr>
            </w:pPr>
          </w:p>
        </w:tc>
        <w:tc>
          <w:tcPr>
            <w:tcW w:w="1488"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default" w:ascii="Times New Roman" w:hAnsi="Times New Roman" w:eastAsia="仿宋_GB2312" w:cs="Times New Roman"/>
                <w:b w:val="0"/>
                <w:bCs w:val="0"/>
                <w:sz w:val="22"/>
                <w:szCs w:val="18"/>
                <w:highlight w:val="none"/>
                <w:vertAlign w:val="baseline"/>
                <w:lang w:val="en-US" w:eastAsia="zh-CN"/>
              </w:rPr>
            </w:pPr>
          </w:p>
        </w:tc>
        <w:tc>
          <w:tcPr>
            <w:tcW w:w="1650"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b w:val="0"/>
                <w:bCs w:val="0"/>
                <w:sz w:val="22"/>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93"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sz w:val="32"/>
                <w:szCs w:val="22"/>
                <w:highlight w:val="none"/>
                <w:vertAlign w:val="baseline"/>
                <w:lang w:val="en-US" w:eastAsia="zh-CN"/>
              </w:rPr>
            </w:pPr>
            <w:r>
              <w:rPr>
                <w:rFonts w:hint="eastAsia" w:eastAsia="仿宋_GB2312" w:cs="Times New Roman"/>
                <w:b w:val="0"/>
                <w:bCs w:val="0"/>
                <w:sz w:val="32"/>
                <w:szCs w:val="22"/>
                <w:highlight w:val="none"/>
                <w:vertAlign w:val="baseline"/>
                <w:lang w:val="en-US" w:eastAsia="zh-CN"/>
              </w:rPr>
              <w:t>2</w:t>
            </w:r>
          </w:p>
        </w:tc>
        <w:tc>
          <w:tcPr>
            <w:tcW w:w="1476"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sz w:val="32"/>
                <w:szCs w:val="22"/>
                <w:highlight w:val="none"/>
                <w:vertAlign w:val="baseline"/>
                <w:lang w:val="en-US" w:eastAsia="zh-CN"/>
              </w:rPr>
            </w:pPr>
          </w:p>
        </w:tc>
        <w:tc>
          <w:tcPr>
            <w:tcW w:w="1475"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b w:val="0"/>
                <w:bCs w:val="0"/>
                <w:sz w:val="22"/>
                <w:szCs w:val="18"/>
                <w:highlight w:val="none"/>
                <w:vertAlign w:val="baseline"/>
                <w:lang w:val="en-US" w:eastAsia="zh-CN"/>
              </w:rPr>
            </w:pPr>
          </w:p>
        </w:tc>
        <w:tc>
          <w:tcPr>
            <w:tcW w:w="1500"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default" w:ascii="Times New Roman" w:hAnsi="Times New Roman" w:eastAsia="仿宋_GB2312" w:cs="Times New Roman"/>
                <w:b w:val="0"/>
                <w:bCs w:val="0"/>
                <w:sz w:val="22"/>
                <w:szCs w:val="18"/>
                <w:highlight w:val="none"/>
                <w:vertAlign w:val="baseline"/>
                <w:lang w:val="en-US" w:eastAsia="zh-CN"/>
              </w:rPr>
            </w:pPr>
          </w:p>
        </w:tc>
        <w:tc>
          <w:tcPr>
            <w:tcW w:w="2543"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default" w:ascii="Times New Roman" w:hAnsi="Times New Roman" w:eastAsia="仿宋_GB2312" w:cs="Times New Roman"/>
                <w:b w:val="0"/>
                <w:bCs w:val="0"/>
                <w:sz w:val="22"/>
                <w:szCs w:val="18"/>
                <w:highlight w:val="none"/>
                <w:vertAlign w:val="baseline"/>
                <w:lang w:val="en-US" w:eastAsia="zh-CN"/>
              </w:rPr>
            </w:pPr>
          </w:p>
        </w:tc>
        <w:tc>
          <w:tcPr>
            <w:tcW w:w="1454"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default" w:ascii="Times New Roman" w:hAnsi="Times New Roman" w:eastAsia="仿宋_GB2312" w:cs="Times New Roman"/>
                <w:b w:val="0"/>
                <w:bCs w:val="0"/>
                <w:sz w:val="22"/>
                <w:szCs w:val="18"/>
                <w:highlight w:val="none"/>
                <w:vertAlign w:val="baseline"/>
                <w:lang w:val="en-US" w:eastAsia="zh-CN"/>
              </w:rPr>
            </w:pPr>
          </w:p>
        </w:tc>
        <w:tc>
          <w:tcPr>
            <w:tcW w:w="1419"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default" w:ascii="Times New Roman" w:hAnsi="Times New Roman" w:eastAsia="仿宋_GB2312" w:cs="Times New Roman"/>
                <w:b w:val="0"/>
                <w:bCs w:val="0"/>
                <w:sz w:val="22"/>
                <w:szCs w:val="18"/>
                <w:highlight w:val="none"/>
                <w:vertAlign w:val="baseline"/>
                <w:lang w:val="en-US" w:eastAsia="zh-CN"/>
              </w:rPr>
            </w:pPr>
          </w:p>
        </w:tc>
        <w:tc>
          <w:tcPr>
            <w:tcW w:w="1488"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default" w:ascii="Times New Roman" w:hAnsi="Times New Roman" w:eastAsia="仿宋_GB2312" w:cs="Times New Roman"/>
                <w:b w:val="0"/>
                <w:bCs w:val="0"/>
                <w:sz w:val="22"/>
                <w:szCs w:val="18"/>
                <w:highlight w:val="none"/>
                <w:vertAlign w:val="baseline"/>
                <w:lang w:val="en-US" w:eastAsia="zh-CN"/>
              </w:rPr>
            </w:pPr>
          </w:p>
        </w:tc>
        <w:tc>
          <w:tcPr>
            <w:tcW w:w="1650"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b w:val="0"/>
                <w:bCs w:val="0"/>
                <w:sz w:val="22"/>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93"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sz w:val="32"/>
                <w:szCs w:val="22"/>
                <w:highlight w:val="none"/>
                <w:vertAlign w:val="baseline"/>
                <w:lang w:val="en-US" w:eastAsia="zh-CN"/>
              </w:rPr>
            </w:pPr>
            <w:r>
              <w:rPr>
                <w:rFonts w:hint="eastAsia" w:eastAsia="仿宋_GB2312" w:cs="Times New Roman"/>
                <w:b w:val="0"/>
                <w:bCs w:val="0"/>
                <w:sz w:val="32"/>
                <w:szCs w:val="22"/>
                <w:highlight w:val="none"/>
                <w:vertAlign w:val="baseline"/>
                <w:lang w:val="en-US" w:eastAsia="zh-CN"/>
              </w:rPr>
              <w:t>3</w:t>
            </w:r>
          </w:p>
        </w:tc>
        <w:tc>
          <w:tcPr>
            <w:tcW w:w="1476"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sz w:val="32"/>
                <w:szCs w:val="22"/>
                <w:highlight w:val="none"/>
                <w:vertAlign w:val="baseline"/>
                <w:lang w:val="en-US" w:eastAsia="zh-CN"/>
              </w:rPr>
            </w:pPr>
          </w:p>
        </w:tc>
        <w:tc>
          <w:tcPr>
            <w:tcW w:w="1475"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b w:val="0"/>
                <w:bCs w:val="0"/>
                <w:sz w:val="22"/>
                <w:szCs w:val="18"/>
                <w:highlight w:val="none"/>
                <w:vertAlign w:val="baseline"/>
                <w:lang w:val="en-US" w:eastAsia="zh-CN"/>
              </w:rPr>
            </w:pPr>
          </w:p>
        </w:tc>
        <w:tc>
          <w:tcPr>
            <w:tcW w:w="1500"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default" w:ascii="Times New Roman" w:hAnsi="Times New Roman" w:eastAsia="仿宋_GB2312" w:cs="Times New Roman"/>
                <w:b w:val="0"/>
                <w:bCs w:val="0"/>
                <w:sz w:val="22"/>
                <w:szCs w:val="18"/>
                <w:highlight w:val="none"/>
                <w:vertAlign w:val="baseline"/>
                <w:lang w:val="en-US" w:eastAsia="zh-CN"/>
              </w:rPr>
            </w:pPr>
          </w:p>
        </w:tc>
        <w:tc>
          <w:tcPr>
            <w:tcW w:w="2543"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default" w:ascii="Times New Roman" w:hAnsi="Times New Roman" w:eastAsia="仿宋_GB2312" w:cs="Times New Roman"/>
                <w:b w:val="0"/>
                <w:bCs w:val="0"/>
                <w:sz w:val="22"/>
                <w:szCs w:val="18"/>
                <w:highlight w:val="none"/>
                <w:vertAlign w:val="baseline"/>
                <w:lang w:val="en-US" w:eastAsia="zh-CN"/>
              </w:rPr>
            </w:pPr>
          </w:p>
        </w:tc>
        <w:tc>
          <w:tcPr>
            <w:tcW w:w="1454"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default" w:ascii="Times New Roman" w:hAnsi="Times New Roman" w:eastAsia="仿宋_GB2312" w:cs="Times New Roman"/>
                <w:b w:val="0"/>
                <w:bCs w:val="0"/>
                <w:sz w:val="22"/>
                <w:szCs w:val="18"/>
                <w:highlight w:val="none"/>
                <w:vertAlign w:val="baseline"/>
                <w:lang w:val="en-US" w:eastAsia="zh-CN"/>
              </w:rPr>
            </w:pPr>
          </w:p>
        </w:tc>
        <w:tc>
          <w:tcPr>
            <w:tcW w:w="1419"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default" w:ascii="Times New Roman" w:hAnsi="Times New Roman" w:eastAsia="仿宋_GB2312" w:cs="Times New Roman"/>
                <w:b w:val="0"/>
                <w:bCs w:val="0"/>
                <w:sz w:val="22"/>
                <w:szCs w:val="18"/>
                <w:highlight w:val="none"/>
                <w:vertAlign w:val="baseline"/>
                <w:lang w:val="en-US" w:eastAsia="zh-CN"/>
              </w:rPr>
            </w:pPr>
          </w:p>
        </w:tc>
        <w:tc>
          <w:tcPr>
            <w:tcW w:w="1488"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default" w:ascii="Times New Roman" w:hAnsi="Times New Roman" w:eastAsia="仿宋_GB2312" w:cs="Times New Roman"/>
                <w:b w:val="0"/>
                <w:bCs w:val="0"/>
                <w:sz w:val="22"/>
                <w:szCs w:val="18"/>
                <w:highlight w:val="none"/>
                <w:vertAlign w:val="baseline"/>
                <w:lang w:val="en-US" w:eastAsia="zh-CN"/>
              </w:rPr>
            </w:pPr>
          </w:p>
        </w:tc>
        <w:tc>
          <w:tcPr>
            <w:tcW w:w="1650"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b w:val="0"/>
                <w:bCs w:val="0"/>
                <w:sz w:val="22"/>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793"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sz w:val="32"/>
                <w:szCs w:val="22"/>
                <w:highlight w:val="none"/>
                <w:vertAlign w:val="baseline"/>
                <w:lang w:val="en-US" w:eastAsia="zh-CN"/>
              </w:rPr>
            </w:pPr>
            <w:r>
              <w:rPr>
                <w:rFonts w:hint="eastAsia" w:eastAsia="仿宋_GB2312" w:cs="Times New Roman"/>
                <w:b w:val="0"/>
                <w:bCs w:val="0"/>
                <w:sz w:val="32"/>
                <w:szCs w:val="22"/>
                <w:highlight w:val="none"/>
                <w:vertAlign w:val="baseline"/>
                <w:lang w:val="en-US" w:eastAsia="zh-CN"/>
              </w:rPr>
              <w:t>4</w:t>
            </w:r>
          </w:p>
        </w:tc>
        <w:tc>
          <w:tcPr>
            <w:tcW w:w="1476"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sz w:val="32"/>
                <w:szCs w:val="22"/>
                <w:highlight w:val="none"/>
                <w:vertAlign w:val="baseline"/>
                <w:lang w:val="en-US" w:eastAsia="zh-CN"/>
              </w:rPr>
            </w:pPr>
          </w:p>
        </w:tc>
        <w:tc>
          <w:tcPr>
            <w:tcW w:w="1475"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b w:val="0"/>
                <w:bCs w:val="0"/>
                <w:sz w:val="22"/>
                <w:szCs w:val="18"/>
                <w:highlight w:val="none"/>
                <w:vertAlign w:val="baseline"/>
                <w:lang w:val="en-US" w:eastAsia="zh-CN"/>
              </w:rPr>
            </w:pPr>
          </w:p>
        </w:tc>
        <w:tc>
          <w:tcPr>
            <w:tcW w:w="1500"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default" w:ascii="Times New Roman" w:hAnsi="Times New Roman" w:eastAsia="仿宋_GB2312" w:cs="Times New Roman"/>
                <w:b w:val="0"/>
                <w:bCs w:val="0"/>
                <w:sz w:val="22"/>
                <w:szCs w:val="18"/>
                <w:highlight w:val="none"/>
                <w:vertAlign w:val="baseline"/>
                <w:lang w:val="en-US" w:eastAsia="zh-CN"/>
              </w:rPr>
            </w:pPr>
          </w:p>
        </w:tc>
        <w:tc>
          <w:tcPr>
            <w:tcW w:w="2543"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default" w:ascii="Times New Roman" w:hAnsi="Times New Roman" w:eastAsia="仿宋_GB2312" w:cs="Times New Roman"/>
                <w:b w:val="0"/>
                <w:bCs w:val="0"/>
                <w:sz w:val="22"/>
                <w:szCs w:val="18"/>
                <w:highlight w:val="none"/>
                <w:vertAlign w:val="baseline"/>
                <w:lang w:val="en-US" w:eastAsia="zh-CN"/>
              </w:rPr>
            </w:pPr>
          </w:p>
        </w:tc>
        <w:tc>
          <w:tcPr>
            <w:tcW w:w="1454"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default" w:ascii="Times New Roman" w:hAnsi="Times New Roman" w:eastAsia="仿宋_GB2312" w:cs="Times New Roman"/>
                <w:b w:val="0"/>
                <w:bCs w:val="0"/>
                <w:sz w:val="22"/>
                <w:szCs w:val="18"/>
                <w:highlight w:val="none"/>
                <w:vertAlign w:val="baseline"/>
                <w:lang w:val="en-US" w:eastAsia="zh-CN"/>
              </w:rPr>
            </w:pPr>
          </w:p>
        </w:tc>
        <w:tc>
          <w:tcPr>
            <w:tcW w:w="1419"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default" w:ascii="Times New Roman" w:hAnsi="Times New Roman" w:eastAsia="仿宋_GB2312" w:cs="Times New Roman"/>
                <w:b w:val="0"/>
                <w:bCs w:val="0"/>
                <w:sz w:val="22"/>
                <w:szCs w:val="18"/>
                <w:highlight w:val="none"/>
                <w:vertAlign w:val="baseline"/>
                <w:lang w:val="en-US" w:eastAsia="zh-CN"/>
              </w:rPr>
            </w:pPr>
          </w:p>
        </w:tc>
        <w:tc>
          <w:tcPr>
            <w:tcW w:w="1488"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default" w:ascii="Times New Roman" w:hAnsi="Times New Roman" w:eastAsia="仿宋_GB2312" w:cs="Times New Roman"/>
                <w:b w:val="0"/>
                <w:bCs w:val="0"/>
                <w:sz w:val="22"/>
                <w:szCs w:val="18"/>
                <w:highlight w:val="none"/>
                <w:vertAlign w:val="baseline"/>
                <w:lang w:val="en-US" w:eastAsia="zh-CN"/>
              </w:rPr>
            </w:pPr>
          </w:p>
        </w:tc>
        <w:tc>
          <w:tcPr>
            <w:tcW w:w="1650"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b w:val="0"/>
                <w:bCs w:val="0"/>
                <w:sz w:val="22"/>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793"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sz w:val="32"/>
                <w:szCs w:val="22"/>
                <w:highlight w:val="none"/>
                <w:vertAlign w:val="baseline"/>
                <w:lang w:val="en-US" w:eastAsia="zh-CN"/>
              </w:rPr>
            </w:pPr>
            <w:r>
              <w:rPr>
                <w:rFonts w:hint="eastAsia" w:eastAsia="仿宋_GB2312" w:cs="Times New Roman"/>
                <w:b w:val="0"/>
                <w:bCs w:val="0"/>
                <w:sz w:val="32"/>
                <w:szCs w:val="22"/>
                <w:highlight w:val="none"/>
                <w:vertAlign w:val="baseline"/>
                <w:lang w:val="en-US" w:eastAsia="zh-CN"/>
              </w:rPr>
              <w:t>5</w:t>
            </w:r>
          </w:p>
        </w:tc>
        <w:tc>
          <w:tcPr>
            <w:tcW w:w="1476"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sz w:val="32"/>
                <w:szCs w:val="22"/>
                <w:highlight w:val="none"/>
                <w:vertAlign w:val="baseline"/>
                <w:lang w:val="en-US" w:eastAsia="zh-CN"/>
              </w:rPr>
            </w:pPr>
          </w:p>
        </w:tc>
        <w:tc>
          <w:tcPr>
            <w:tcW w:w="1475"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b w:val="0"/>
                <w:bCs w:val="0"/>
                <w:sz w:val="22"/>
                <w:szCs w:val="18"/>
                <w:highlight w:val="none"/>
                <w:vertAlign w:val="baseline"/>
                <w:lang w:val="en-US" w:eastAsia="zh-CN"/>
              </w:rPr>
            </w:pPr>
          </w:p>
        </w:tc>
        <w:tc>
          <w:tcPr>
            <w:tcW w:w="1500"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default" w:ascii="Times New Roman" w:hAnsi="Times New Roman" w:eastAsia="仿宋_GB2312" w:cs="Times New Roman"/>
                <w:b w:val="0"/>
                <w:bCs w:val="0"/>
                <w:sz w:val="22"/>
                <w:szCs w:val="18"/>
                <w:highlight w:val="none"/>
                <w:vertAlign w:val="baseline"/>
                <w:lang w:val="en-US" w:eastAsia="zh-CN"/>
              </w:rPr>
            </w:pPr>
          </w:p>
        </w:tc>
        <w:tc>
          <w:tcPr>
            <w:tcW w:w="2543"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default" w:ascii="Times New Roman" w:hAnsi="Times New Roman" w:eastAsia="仿宋_GB2312" w:cs="Times New Roman"/>
                <w:b w:val="0"/>
                <w:bCs w:val="0"/>
                <w:sz w:val="22"/>
                <w:szCs w:val="18"/>
                <w:highlight w:val="none"/>
                <w:vertAlign w:val="baseline"/>
                <w:lang w:val="en-US" w:eastAsia="zh-CN"/>
              </w:rPr>
            </w:pPr>
          </w:p>
        </w:tc>
        <w:tc>
          <w:tcPr>
            <w:tcW w:w="1454"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default" w:ascii="Times New Roman" w:hAnsi="Times New Roman" w:eastAsia="仿宋_GB2312" w:cs="Times New Roman"/>
                <w:b w:val="0"/>
                <w:bCs w:val="0"/>
                <w:sz w:val="22"/>
                <w:szCs w:val="18"/>
                <w:highlight w:val="none"/>
                <w:vertAlign w:val="baseline"/>
                <w:lang w:val="en-US" w:eastAsia="zh-CN"/>
              </w:rPr>
            </w:pPr>
          </w:p>
        </w:tc>
        <w:tc>
          <w:tcPr>
            <w:tcW w:w="1419"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default" w:ascii="Times New Roman" w:hAnsi="Times New Roman" w:eastAsia="仿宋_GB2312" w:cs="Times New Roman"/>
                <w:b w:val="0"/>
                <w:bCs w:val="0"/>
                <w:sz w:val="22"/>
                <w:szCs w:val="18"/>
                <w:highlight w:val="none"/>
                <w:vertAlign w:val="baseline"/>
                <w:lang w:val="en-US" w:eastAsia="zh-CN"/>
              </w:rPr>
            </w:pPr>
          </w:p>
        </w:tc>
        <w:tc>
          <w:tcPr>
            <w:tcW w:w="1488"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default" w:ascii="Times New Roman" w:hAnsi="Times New Roman" w:eastAsia="仿宋_GB2312" w:cs="Times New Roman"/>
                <w:b w:val="0"/>
                <w:bCs w:val="0"/>
                <w:sz w:val="22"/>
                <w:szCs w:val="18"/>
                <w:highlight w:val="none"/>
                <w:vertAlign w:val="baseline"/>
                <w:lang w:val="en-US" w:eastAsia="zh-CN"/>
              </w:rPr>
            </w:pPr>
          </w:p>
        </w:tc>
        <w:tc>
          <w:tcPr>
            <w:tcW w:w="1650" w:type="dxa"/>
            <w:noWrap w:val="0"/>
            <w:vAlign w:val="top"/>
          </w:tcPr>
          <w:p>
            <w:pPr>
              <w:pStyle w:val="9"/>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b w:val="0"/>
                <w:bCs w:val="0"/>
                <w:sz w:val="22"/>
                <w:szCs w:val="18"/>
                <w:highlight w:val="none"/>
                <w:vertAlign w:val="baseline"/>
                <w:lang w:val="en-US" w:eastAsia="zh-CN"/>
              </w:rPr>
            </w:pPr>
          </w:p>
        </w:tc>
      </w:tr>
    </w:tbl>
    <w:p>
      <w:pPr>
        <w:pStyle w:val="2"/>
        <w:rPr>
          <w:rFonts w:hint="default" w:ascii="Times New Roman" w:hAnsi="Times New Roman" w:eastAsia="仿宋_GB2312" w:cs="Times New Roman"/>
          <w:sz w:val="32"/>
          <w:szCs w:val="32"/>
        </w:rPr>
      </w:pPr>
    </w:p>
    <w:sectPr>
      <w:footerReference r:id="rId12" w:type="default"/>
      <w:pgSz w:w="16840" w:h="11900"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仿宋"/>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0"/>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汉仪方隶简">
    <w:altName w:val="隶书"/>
    <w:panose1 w:val="00000000000000000000"/>
    <w:charset w:val="00"/>
    <w:family w:val="auto"/>
    <w:pitch w:val="default"/>
    <w:sig w:usb0="00000000" w:usb1="00000000" w:usb2="00000000" w:usb3="00000000" w:csb0="00040001" w:csb1="00000000"/>
  </w:font>
  <w:font w:name="隶书">
    <w:panose1 w:val="02010509060101010101"/>
    <w:charset w:val="86"/>
    <w:family w:val="auto"/>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default" w:ascii="Times New Roman" w:hAnsi="Times New Roman" w:cs="Times New Roman"/>
                              <w:sz w:val="28"/>
                              <w:szCs w:val="28"/>
                            </w:rPr>
                          </w:pPr>
                          <w:r>
                            <w:rPr>
                              <w:rFonts w:hint="default" w:ascii="Times New Roman" w:hAnsi="Times New Roman" w:eastAsia="汉仪方隶简"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eastAsia="汉仪方隶简"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2"/>
                      <w:jc w:val="center"/>
                      <w:rPr>
                        <w:rFonts w:hint="default" w:ascii="Times New Roman" w:hAnsi="Times New Roman" w:cs="Times New Roman"/>
                        <w:sz w:val="28"/>
                        <w:szCs w:val="28"/>
                      </w:rPr>
                    </w:pPr>
                    <w:r>
                      <w:rPr>
                        <w:rFonts w:hint="default" w:ascii="Times New Roman" w:hAnsi="Times New Roman" w:eastAsia="汉仪方隶简"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eastAsia="汉仪方隶简"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3881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3881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imes New Roman" w:hAnsi="Times New Roman" w:cs="Times New Roman" w:eastAsiaTheme="minorEastAsia"/>
                              <w:sz w:val="28"/>
                              <w:szCs w:val="28"/>
                              <w:lang w:val="en-US" w:eastAsia="zh-CN"/>
                            </w:rPr>
                          </w:pPr>
                          <w:r>
                            <w:rPr>
                              <w:rFonts w:hint="eastAsia" w:ascii="汉仪方隶简" w:hAnsi="汉仪方隶简" w:eastAsia="汉仪方隶简" w:cs="汉仪方隶简"/>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汉仪方隶简" w:hAnsi="汉仪方隶简" w:eastAsia="汉仪方隶简" w:cs="汉仪方隶简"/>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50.3pt;mso-position-horizontal:center;mso-position-horizontal-relative:margin;z-index:251659264;mso-width-relative:page;mso-height-relative:page;" filled="f" stroked="f" coordsize="21600,21600" o:gfxdata="UEsDBAoAAAAAAIdO4kAAAAAAAAAAAAAAAAAEAAAAZHJzL1BLAwQUAAAACACHTuJAkfKC69MAAAAF&#10;AQAADwAAAGRycy9kb3ducmV2LnhtbE2PQU/DMAyF70j8h8hI3FiyHVBVmu6AYAc40SHE0Wvdplvj&#10;VE3WDX49Hhe4WLLe83ufi/XZD2qmKfaBLSwXBhRxHZqeOwvv2+e7DFRMyA0OgcnCF0VYl9dXBeZN&#10;OPEbzVXqlIRwzNGCS2nMtY61I49xEUZi0doweUyyTp1uJjxJuB/0yph77bFnaXA40qOj+lAdvWB8&#10;vBq/+W7dp3/BNlZuO2+e9tbe3izNA6hE5/Rnhgu+3EApTLtw5CaqwYI8kn7nRZMmUDsLqywzoMtC&#10;/6cvfwBQSwMEFAAAAAgAh07iQMPVILg1AgAAYgQAAA4AAABkcnMvZTJvRG9jLnhtbK1Uy47TMBTd&#10;I/EPlvc0bRGjqmo6KlMVIVXMSANi7TpOE8kvbLdJ+QD4A1Zs2M939Ts4dpIOGljMgo17c9/n3Hu7&#10;uG6VJEfhfG10TiejMSVCc1PUep/TTx83r2aU+MB0waTRIqcn4en18uWLRWPnYmoqIwvhCJJoP29s&#10;TqsQ7DzLPK+EYn5krNAwlsYpFvDp9lnhWIPsSmbT8fgqa4wrrDNceA/tujPSPqN7TkJTljUXa8MP&#10;SujQZXVCsgBIvqqtp8vUbVkKHm7L0otAZE6BNKQXRSDv4pstF2y+d8xWNe9bYM9p4QkmxWqNopdU&#10;axYYObj6r1Sq5s54U4YRNyrrgCRGgGIyfsLNfcWsSFhAtbcX0v3/S8s/HO8cqYucTinRTGHg5x/f&#10;zz8fzr++kWmkp7F+Dq97C7/QvjUtlmbQeygj6rZ0Kv4CD4Ed5J4u5Io2EA7l1evZbAILh2kym85m&#10;48R+9hhtnQ/vhFEkCjl1GF7ilB23PqATuA4usZg2m1rKNECpSRMrvBmngIsFEVIjMGLoeo1SaHdt&#10;D2xnihNwOdMthrd8U6P4lvlwxxw2AQ3jVsItnlIaFDG9REll3Nd/6aM/BgQrJQ02K6f+y4E5QYl8&#10;rzE6pAyD4AZhNwj6oG4MlnWCK7Q8iQhwQQ5i6Yz6jBNaxSowMc1RK6dhEG9Ct984QS5Wq+R0sK7e&#10;V10AFs+ysNX3lscykUpvV4cAOhPLkaKOl545rF4ivz+TuNt/fievx7+G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R8oLr0wAAAAUBAAAPAAAAAAAAAAEAIAAAACIAAABkcnMvZG93bnJldi54bWxQ&#10;SwECFAAUAAAACACHTuJAw9UguDUCAABiBAAADgAAAAAAAAABACAAAAAiAQAAZHJzL2Uyb0RvYy54&#10;bWxQSwUGAAAAAAYABgBZAQAAyQUAAAAA&#10;">
              <v:fill on="f" focussize="0,0"/>
              <v:stroke on="f" weight="0.5pt"/>
              <v:imagedata o:title=""/>
              <o:lock v:ext="edit" aspectratio="f"/>
              <v:textbox inset="0mm,0mm,0mm,0mm" style="mso-fit-shape-to-text:t;">
                <w:txbxContent>
                  <w:p>
                    <w:pPr>
                      <w:pStyle w:val="2"/>
                      <w:rPr>
                        <w:rFonts w:hint="eastAsia" w:ascii="Times New Roman" w:hAnsi="Times New Roman" w:cs="Times New Roman" w:eastAsiaTheme="minorEastAsia"/>
                        <w:sz w:val="28"/>
                        <w:szCs w:val="28"/>
                        <w:lang w:val="en-US" w:eastAsia="zh-CN"/>
                      </w:rPr>
                    </w:pPr>
                    <w:r>
                      <w:rPr>
                        <w:rFonts w:hint="eastAsia" w:ascii="汉仪方隶简" w:hAnsi="汉仪方隶简" w:eastAsia="汉仪方隶简" w:cs="汉仪方隶简"/>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汉仪方隶简" w:hAnsi="汉仪方隶简" w:eastAsia="汉仪方隶简" w:cs="汉仪方隶简"/>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7840" w:firstLineChars="2800"/>
      <w:rPr>
        <w:rFonts w:hint="default"/>
        <w:lang w:val="en-US" w:eastAsia="zh-CN"/>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default" w:ascii="Times New Roman" w:hAnsi="Times New Roman" w:cs="Times New Roman"/>
                              <w:sz w:val="28"/>
                              <w:szCs w:val="28"/>
                            </w:rPr>
                          </w:pPr>
                          <w:r>
                            <w:rPr>
                              <w:rFonts w:hint="default" w:ascii="Times New Roman" w:hAnsi="Times New Roman" w:eastAsia="汉仪方隶简"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eastAsia="汉仪方隶简"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2"/>
                      <w:jc w:val="center"/>
                      <w:rPr>
                        <w:rFonts w:hint="default" w:ascii="Times New Roman" w:hAnsi="Times New Roman" w:cs="Times New Roman"/>
                        <w:sz w:val="28"/>
                        <w:szCs w:val="28"/>
                      </w:rPr>
                    </w:pPr>
                    <w:r>
                      <w:rPr>
                        <w:rFonts w:hint="default" w:ascii="Times New Roman" w:hAnsi="Times New Roman" w:eastAsia="汉仪方隶简"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eastAsia="汉仪方隶简" w:cs="Times New Roman"/>
                        <w:sz w:val="28"/>
                        <w:szCs w:val="28"/>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3" w:lineRule="exact"/>
      <w:ind w:firstLine="7606"/>
      <w:rPr>
        <w:rFonts w:ascii="仿宋" w:hAnsi="仿宋" w:eastAsia="仿宋" w:cs="仿宋"/>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eastAsiaTheme="minorEastAsia"/>
                              <w:sz w:val="28"/>
                              <w:szCs w:val="28"/>
                              <w:lang w:val="en-US" w:eastAsia="zh-CN"/>
                            </w:rPr>
                          </w:pPr>
                          <w:r>
                            <w:rPr>
                              <w:rFonts w:hint="default" w:ascii="Times New Roman" w:hAnsi="Times New Roman" w:eastAsia="汉仪方隶简"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eastAsia="汉仪方隶简"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eastAsiaTheme="minorEastAsia"/>
                        <w:sz w:val="28"/>
                        <w:szCs w:val="28"/>
                        <w:lang w:val="en-US" w:eastAsia="zh-CN"/>
                      </w:rPr>
                    </w:pPr>
                    <w:r>
                      <w:rPr>
                        <w:rFonts w:hint="default" w:ascii="Times New Roman" w:hAnsi="Times New Roman" w:eastAsia="汉仪方隶简"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eastAsia="汉仪方隶简" w:cs="Times New Roman"/>
                        <w:sz w:val="28"/>
                        <w:szCs w:val="28"/>
                        <w:lang w:eastAsia="zh-CN"/>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3" w:lineRule="exact"/>
      <w:ind w:firstLine="7606"/>
      <w:rPr>
        <w:rFonts w:ascii="仿宋" w:hAnsi="仿宋" w:eastAsia="仿宋" w:cs="仿宋"/>
        <w:sz w:val="32"/>
        <w:szCs w:val="32"/>
      </w:rPr>
    </w:pPr>
    <w:r>
      <w:rPr>
        <w:sz w:val="3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default" w:ascii="Times New Roman" w:hAnsi="Times New Roman" w:cs="Times New Roman"/>
                              <w:sz w:val="28"/>
                              <w:szCs w:val="28"/>
                            </w:rPr>
                          </w:pPr>
                          <w:r>
                            <w:rPr>
                              <w:rFonts w:hint="default" w:ascii="Times New Roman" w:hAnsi="Times New Roman" w:eastAsia="汉仪方隶简"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eastAsia="汉仪方隶简"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2"/>
                      <w:jc w:val="center"/>
                      <w:rPr>
                        <w:rFonts w:hint="default" w:ascii="Times New Roman" w:hAnsi="Times New Roman" w:cs="Times New Roman"/>
                        <w:sz w:val="28"/>
                        <w:szCs w:val="28"/>
                      </w:rPr>
                    </w:pPr>
                    <w:r>
                      <w:rPr>
                        <w:rFonts w:hint="default" w:ascii="Times New Roman" w:hAnsi="Times New Roman" w:eastAsia="汉仪方隶简"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eastAsia="汉仪方隶简" w:cs="Times New Roman"/>
                        <w:sz w:val="28"/>
                        <w:szCs w:val="28"/>
                        <w:lang w:eastAsia="zh-CN"/>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3" w:lineRule="exact"/>
      <w:ind w:firstLine="7606"/>
      <w:rPr>
        <w:rFonts w:ascii="仿宋" w:hAnsi="仿宋" w:eastAsia="仿宋" w:cs="仿宋"/>
        <w:sz w:val="32"/>
        <w:szCs w:val="32"/>
      </w:rPr>
    </w:pPr>
    <w:r>
      <w:rPr>
        <w:sz w:val="3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default" w:ascii="Times New Roman" w:hAnsi="Times New Roman" w:cs="Times New Roman"/>
                              <w:sz w:val="28"/>
                              <w:szCs w:val="28"/>
                            </w:rPr>
                          </w:pPr>
                          <w:r>
                            <w:rPr>
                              <w:rFonts w:hint="default" w:ascii="Times New Roman" w:hAnsi="Times New Roman" w:eastAsia="汉仪方隶简"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Fonts w:hint="default" w:ascii="Times New Roman" w:hAnsi="Times New Roman" w:eastAsia="汉仪方隶简"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2"/>
                      <w:jc w:val="center"/>
                      <w:rPr>
                        <w:rFonts w:hint="default" w:ascii="Times New Roman" w:hAnsi="Times New Roman" w:cs="Times New Roman"/>
                        <w:sz w:val="28"/>
                        <w:szCs w:val="28"/>
                      </w:rPr>
                    </w:pPr>
                    <w:r>
                      <w:rPr>
                        <w:rFonts w:hint="default" w:ascii="Times New Roman" w:hAnsi="Times New Roman" w:eastAsia="汉仪方隶简"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Fonts w:hint="default" w:ascii="Times New Roman" w:hAnsi="Times New Roman" w:eastAsia="汉仪方隶简" w:cs="Times New Roman"/>
                        <w:sz w:val="28"/>
                        <w:szCs w:val="28"/>
                        <w:lang w:eastAsia="zh-CN"/>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3" w:lineRule="exact"/>
      <w:ind w:firstLine="7606"/>
      <w:rPr>
        <w:rFonts w:ascii="仿宋" w:hAnsi="仿宋" w:eastAsia="仿宋" w:cs="仿宋"/>
        <w:sz w:val="32"/>
        <w:szCs w:val="32"/>
      </w:rPr>
    </w:pPr>
    <w:r>
      <w:rPr>
        <w:sz w:val="3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default" w:ascii="Times New Roman" w:hAnsi="Times New Roman" w:cs="Times New Roman"/>
                              <w:sz w:val="28"/>
                              <w:szCs w:val="28"/>
                            </w:rPr>
                          </w:pPr>
                          <w:r>
                            <w:rPr>
                              <w:rFonts w:hint="default" w:ascii="Times New Roman" w:hAnsi="Times New Roman" w:eastAsia="汉仪方隶简"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eastAsia="汉仪方隶简"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pPr>
                      <w:pStyle w:val="2"/>
                      <w:jc w:val="center"/>
                      <w:rPr>
                        <w:rFonts w:hint="default" w:ascii="Times New Roman" w:hAnsi="Times New Roman" w:cs="Times New Roman"/>
                        <w:sz w:val="28"/>
                        <w:szCs w:val="28"/>
                      </w:rPr>
                    </w:pPr>
                    <w:r>
                      <w:rPr>
                        <w:rFonts w:hint="default" w:ascii="Times New Roman" w:hAnsi="Times New Roman" w:eastAsia="汉仪方隶简"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eastAsia="汉仪方隶简" w:cs="Times New Roman"/>
                        <w:sz w:val="28"/>
                        <w:szCs w:val="28"/>
                        <w:lang w:eastAsia="zh-CN"/>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3" w:lineRule="exact"/>
      <w:ind w:firstLine="7606"/>
      <w:rPr>
        <w:rFonts w:ascii="仿宋" w:hAnsi="仿宋" w:eastAsia="仿宋" w:cs="仿宋"/>
        <w:sz w:val="32"/>
        <w:szCs w:val="32"/>
      </w:rPr>
    </w:pPr>
    <w:r>
      <w:rPr>
        <w:sz w:val="3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default" w:ascii="Times New Roman" w:hAnsi="Times New Roman" w:cs="Times New Roman"/>
                              <w:sz w:val="28"/>
                              <w:szCs w:val="28"/>
                            </w:rPr>
                          </w:pPr>
                          <w:r>
                            <w:rPr>
                              <w:rFonts w:hint="default" w:ascii="Times New Roman" w:hAnsi="Times New Roman" w:eastAsia="汉仪方隶简"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eastAsia="汉仪方隶简"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pPr>
                      <w:pStyle w:val="2"/>
                      <w:jc w:val="center"/>
                      <w:rPr>
                        <w:rFonts w:hint="default" w:ascii="Times New Roman" w:hAnsi="Times New Roman" w:cs="Times New Roman"/>
                        <w:sz w:val="28"/>
                        <w:szCs w:val="28"/>
                      </w:rPr>
                    </w:pPr>
                    <w:r>
                      <w:rPr>
                        <w:rFonts w:hint="default" w:ascii="Times New Roman" w:hAnsi="Times New Roman" w:eastAsia="汉仪方隶简"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eastAsia="汉仪方隶简" w:cs="Times New Roman"/>
                        <w:sz w:val="28"/>
                        <w:szCs w:val="28"/>
                        <w:lang w:eastAsia="zh-CN"/>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3" w:lineRule="exact"/>
      <w:ind w:firstLine="7606"/>
      <w:rPr>
        <w:rFonts w:ascii="仿宋" w:hAnsi="仿宋" w:eastAsia="仿宋" w:cs="仿宋"/>
        <w:sz w:val="32"/>
        <w:szCs w:val="32"/>
      </w:rPr>
    </w:pPr>
    <w:r>
      <w:rPr>
        <w:sz w:val="32"/>
      </w:rPr>
      <mc:AlternateContent>
        <mc:Choice Requires="wps">
          <w:drawing>
            <wp:anchor distT="0" distB="0" distL="114300" distR="114300" simplePos="0" relativeHeight="251667456" behindDoc="0" locked="0" layoutInCell="1" allowOverlap="1">
              <wp:simplePos x="0" y="0"/>
              <wp:positionH relativeFrom="margin">
                <wp:posOffset>4365625</wp:posOffset>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default" w:ascii="Times New Roman" w:hAnsi="Times New Roman" w:cs="Times New Roman"/>
                              <w:sz w:val="28"/>
                              <w:szCs w:val="28"/>
                            </w:rPr>
                          </w:pPr>
                          <w:r>
                            <w:rPr>
                              <w:rFonts w:hint="default" w:ascii="Times New Roman" w:hAnsi="Times New Roman" w:eastAsia="汉仪方隶简"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eastAsia="汉仪方隶简"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43.75pt;margin-top:0pt;height:144pt;width:144p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pPr>
                      <w:pStyle w:val="2"/>
                      <w:jc w:val="center"/>
                      <w:rPr>
                        <w:rFonts w:hint="default" w:ascii="Times New Roman" w:hAnsi="Times New Roman" w:cs="Times New Roman"/>
                        <w:sz w:val="28"/>
                        <w:szCs w:val="28"/>
                      </w:rPr>
                    </w:pPr>
                    <w:r>
                      <w:rPr>
                        <w:rFonts w:hint="default" w:ascii="Times New Roman" w:hAnsi="Times New Roman" w:eastAsia="汉仪方隶简"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eastAsia="汉仪方隶简" w:cs="Times New Roman"/>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0MWRiYmExZTdkYTUyYWMxYzY1N2RiZGFjMjM4YTkifQ=="/>
  </w:docVars>
  <w:rsids>
    <w:rsidRoot w:val="00C51A9A"/>
    <w:rsid w:val="000150A7"/>
    <w:rsid w:val="000407B0"/>
    <w:rsid w:val="00062817"/>
    <w:rsid w:val="00071120"/>
    <w:rsid w:val="00082468"/>
    <w:rsid w:val="000A2C4A"/>
    <w:rsid w:val="000B7962"/>
    <w:rsid w:val="001052A7"/>
    <w:rsid w:val="00123455"/>
    <w:rsid w:val="00197897"/>
    <w:rsid w:val="001C1393"/>
    <w:rsid w:val="001E2829"/>
    <w:rsid w:val="00221D12"/>
    <w:rsid w:val="00240764"/>
    <w:rsid w:val="0024191A"/>
    <w:rsid w:val="002B097B"/>
    <w:rsid w:val="002B5FC0"/>
    <w:rsid w:val="002B7BE9"/>
    <w:rsid w:val="002D220C"/>
    <w:rsid w:val="002D50A1"/>
    <w:rsid w:val="002E0CF3"/>
    <w:rsid w:val="003328DE"/>
    <w:rsid w:val="00347E10"/>
    <w:rsid w:val="00352071"/>
    <w:rsid w:val="0037611D"/>
    <w:rsid w:val="003B0204"/>
    <w:rsid w:val="003B140C"/>
    <w:rsid w:val="003B16F0"/>
    <w:rsid w:val="003D41DF"/>
    <w:rsid w:val="003E2203"/>
    <w:rsid w:val="003E3AB2"/>
    <w:rsid w:val="003F76CB"/>
    <w:rsid w:val="00415924"/>
    <w:rsid w:val="00442A85"/>
    <w:rsid w:val="00476430"/>
    <w:rsid w:val="004767A9"/>
    <w:rsid w:val="004D23B6"/>
    <w:rsid w:val="004E20C8"/>
    <w:rsid w:val="004F70CF"/>
    <w:rsid w:val="00500E98"/>
    <w:rsid w:val="0051112A"/>
    <w:rsid w:val="00583147"/>
    <w:rsid w:val="00584F7B"/>
    <w:rsid w:val="0059491F"/>
    <w:rsid w:val="005D3342"/>
    <w:rsid w:val="005D6556"/>
    <w:rsid w:val="005F6CCD"/>
    <w:rsid w:val="00622A02"/>
    <w:rsid w:val="0063230D"/>
    <w:rsid w:val="006417C7"/>
    <w:rsid w:val="00662951"/>
    <w:rsid w:val="006774AE"/>
    <w:rsid w:val="0068113F"/>
    <w:rsid w:val="00695B9A"/>
    <w:rsid w:val="006A60CF"/>
    <w:rsid w:val="006B1B94"/>
    <w:rsid w:val="006D2E20"/>
    <w:rsid w:val="006E3038"/>
    <w:rsid w:val="006E7743"/>
    <w:rsid w:val="007439DF"/>
    <w:rsid w:val="00745981"/>
    <w:rsid w:val="007541B3"/>
    <w:rsid w:val="007629F2"/>
    <w:rsid w:val="00762E85"/>
    <w:rsid w:val="007634BC"/>
    <w:rsid w:val="0076518D"/>
    <w:rsid w:val="007862B5"/>
    <w:rsid w:val="007911BC"/>
    <w:rsid w:val="007A0A67"/>
    <w:rsid w:val="007E4AEC"/>
    <w:rsid w:val="007E7A1A"/>
    <w:rsid w:val="007F2186"/>
    <w:rsid w:val="00802346"/>
    <w:rsid w:val="008B46D4"/>
    <w:rsid w:val="008F0A18"/>
    <w:rsid w:val="00904570"/>
    <w:rsid w:val="00904B69"/>
    <w:rsid w:val="009464A1"/>
    <w:rsid w:val="00953300"/>
    <w:rsid w:val="00975D71"/>
    <w:rsid w:val="00991F8F"/>
    <w:rsid w:val="009A0F33"/>
    <w:rsid w:val="009D01F3"/>
    <w:rsid w:val="009F6A03"/>
    <w:rsid w:val="00A05615"/>
    <w:rsid w:val="00A05B49"/>
    <w:rsid w:val="00A44A7C"/>
    <w:rsid w:val="00A62985"/>
    <w:rsid w:val="00A92F58"/>
    <w:rsid w:val="00A96637"/>
    <w:rsid w:val="00AB6BA0"/>
    <w:rsid w:val="00B3694E"/>
    <w:rsid w:val="00B60CD6"/>
    <w:rsid w:val="00B6679E"/>
    <w:rsid w:val="00B83952"/>
    <w:rsid w:val="00B859F9"/>
    <w:rsid w:val="00B95636"/>
    <w:rsid w:val="00BA136F"/>
    <w:rsid w:val="00BC561F"/>
    <w:rsid w:val="00BE2A0E"/>
    <w:rsid w:val="00C00489"/>
    <w:rsid w:val="00C3060C"/>
    <w:rsid w:val="00C40D56"/>
    <w:rsid w:val="00C51A9A"/>
    <w:rsid w:val="00C56F04"/>
    <w:rsid w:val="00C606E8"/>
    <w:rsid w:val="00C6213D"/>
    <w:rsid w:val="00C83AE6"/>
    <w:rsid w:val="00C83CB0"/>
    <w:rsid w:val="00C97775"/>
    <w:rsid w:val="00D27171"/>
    <w:rsid w:val="00D32852"/>
    <w:rsid w:val="00DD147D"/>
    <w:rsid w:val="00DE570D"/>
    <w:rsid w:val="00E14627"/>
    <w:rsid w:val="00E63AB9"/>
    <w:rsid w:val="00E75174"/>
    <w:rsid w:val="00E87B92"/>
    <w:rsid w:val="00EB4EFD"/>
    <w:rsid w:val="00ED1956"/>
    <w:rsid w:val="00F154E1"/>
    <w:rsid w:val="00F16563"/>
    <w:rsid w:val="00F2306D"/>
    <w:rsid w:val="00F30B03"/>
    <w:rsid w:val="00F744E5"/>
    <w:rsid w:val="00F76832"/>
    <w:rsid w:val="00FB77CE"/>
    <w:rsid w:val="00FD073C"/>
    <w:rsid w:val="00FD2428"/>
    <w:rsid w:val="00FE3AD5"/>
    <w:rsid w:val="275EBF27"/>
    <w:rsid w:val="29435EE4"/>
    <w:rsid w:val="3991C743"/>
    <w:rsid w:val="3EDCB731"/>
    <w:rsid w:val="3FF78A5D"/>
    <w:rsid w:val="46D57C67"/>
    <w:rsid w:val="4FABA843"/>
    <w:rsid w:val="4FDE237E"/>
    <w:rsid w:val="567D0B58"/>
    <w:rsid w:val="5D9776DD"/>
    <w:rsid w:val="636C2EA8"/>
    <w:rsid w:val="66D32581"/>
    <w:rsid w:val="67EF091B"/>
    <w:rsid w:val="6F3E8799"/>
    <w:rsid w:val="71F7DF95"/>
    <w:rsid w:val="77C7F2A4"/>
    <w:rsid w:val="782E3B07"/>
    <w:rsid w:val="7BCBBC56"/>
    <w:rsid w:val="7F3EEC24"/>
    <w:rsid w:val="7FBFC1B3"/>
    <w:rsid w:val="7FC3EAB5"/>
    <w:rsid w:val="7FCF2AD0"/>
    <w:rsid w:val="7FFDE62D"/>
    <w:rsid w:val="8FEE8BD4"/>
    <w:rsid w:val="9FB6929C"/>
    <w:rsid w:val="B6FF351B"/>
    <w:rsid w:val="BBDE007C"/>
    <w:rsid w:val="BEF7E249"/>
    <w:rsid w:val="BF7E3FAD"/>
    <w:rsid w:val="BF9BAADD"/>
    <w:rsid w:val="C752F552"/>
    <w:rsid w:val="CBF3CF21"/>
    <w:rsid w:val="CCDF0E4E"/>
    <w:rsid w:val="CEDAA622"/>
    <w:rsid w:val="D7EA8A5E"/>
    <w:rsid w:val="DBFEC620"/>
    <w:rsid w:val="DD2DB056"/>
    <w:rsid w:val="DE9F8A73"/>
    <w:rsid w:val="DF292B16"/>
    <w:rsid w:val="DFEBB34F"/>
    <w:rsid w:val="DFED671C"/>
    <w:rsid w:val="DFF1F111"/>
    <w:rsid w:val="E3FEACDF"/>
    <w:rsid w:val="EBF3AA35"/>
    <w:rsid w:val="EEEE348A"/>
    <w:rsid w:val="F337BF57"/>
    <w:rsid w:val="F5FF884E"/>
    <w:rsid w:val="F7EEA76E"/>
    <w:rsid w:val="F97FA810"/>
    <w:rsid w:val="FB7CE5C0"/>
    <w:rsid w:val="FD37855B"/>
    <w:rsid w:val="FD4C512B"/>
    <w:rsid w:val="FF0D7B73"/>
    <w:rsid w:val="FF5DEE23"/>
    <w:rsid w:val="FFEBDCE8"/>
    <w:rsid w:val="FFFF0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2"/>
    <w:qFormat/>
    <w:uiPriority w:val="0"/>
    <w:pPr>
      <w:keepNext/>
      <w:keepLines/>
      <w:spacing w:before="340" w:after="330" w:line="576"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1"/>
    <w:qFormat/>
    <w:uiPriority w:val="0"/>
    <w:pPr>
      <w:tabs>
        <w:tab w:val="center" w:pos="4153"/>
        <w:tab w:val="right" w:pos="8306"/>
      </w:tabs>
      <w:snapToGrid w:val="0"/>
      <w:jc w:val="left"/>
    </w:pPr>
    <w:rPr>
      <w:sz w:val="18"/>
    </w:rPr>
  </w:style>
  <w:style w:type="paragraph" w:styleId="4">
    <w:name w:val="Body Text Indent"/>
    <w:basedOn w:val="1"/>
    <w:link w:val="19"/>
    <w:semiHidden/>
    <w:unhideWhenUsed/>
    <w:qFormat/>
    <w:uiPriority w:val="99"/>
    <w:pPr>
      <w:spacing w:after="120"/>
      <w:ind w:left="420" w:leftChars="200"/>
    </w:pPr>
  </w:style>
  <w:style w:type="paragraph" w:styleId="5">
    <w:name w:val="endnote text"/>
    <w:basedOn w:val="1"/>
    <w:link w:val="17"/>
    <w:semiHidden/>
    <w:unhideWhenUsed/>
    <w:qFormat/>
    <w:uiPriority w:val="99"/>
    <w:pPr>
      <w:snapToGrid w:val="0"/>
      <w:jc w:val="left"/>
    </w:p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link w:val="18"/>
    <w:semiHidden/>
    <w:unhideWhenUsed/>
    <w:qFormat/>
    <w:uiPriority w:val="99"/>
    <w:pPr>
      <w:snapToGrid w:val="0"/>
      <w:jc w:val="left"/>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Body Text First Indent 2"/>
    <w:basedOn w:val="4"/>
    <w:link w:val="20"/>
    <w:qFormat/>
    <w:uiPriority w:val="99"/>
    <w:pPr>
      <w:spacing w:after="0" w:line="540" w:lineRule="exact"/>
      <w:ind w:left="0" w:leftChars="0" w:firstLine="640"/>
    </w:pPr>
    <w:rPr>
      <w:rFonts w:ascii="Times New Roman" w:hAnsi="Times New Roman" w:eastAsia="宋体" w:cs="Times New Roman"/>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ndnote reference"/>
    <w:basedOn w:val="12"/>
    <w:semiHidden/>
    <w:unhideWhenUsed/>
    <w:qFormat/>
    <w:uiPriority w:val="99"/>
    <w:rPr>
      <w:vertAlign w:val="superscript"/>
    </w:rPr>
  </w:style>
  <w:style w:type="character" w:styleId="14">
    <w:name w:val="Hyperlink"/>
    <w:basedOn w:val="12"/>
    <w:qFormat/>
    <w:uiPriority w:val="0"/>
    <w:rPr>
      <w:color w:val="0000FF"/>
      <w:u w:val="single"/>
    </w:rPr>
  </w:style>
  <w:style w:type="character" w:styleId="15">
    <w:name w:val="footnote reference"/>
    <w:basedOn w:val="12"/>
    <w:semiHidden/>
    <w:unhideWhenUsed/>
    <w:qFormat/>
    <w:uiPriority w:val="99"/>
    <w:rPr>
      <w:vertAlign w:val="superscript"/>
    </w:rPr>
  </w:style>
  <w:style w:type="paragraph" w:styleId="16">
    <w:name w:val="List Paragraph"/>
    <w:basedOn w:val="1"/>
    <w:qFormat/>
    <w:uiPriority w:val="34"/>
    <w:pPr>
      <w:ind w:firstLine="420" w:firstLineChars="200"/>
    </w:pPr>
  </w:style>
  <w:style w:type="character" w:customStyle="1" w:styleId="17">
    <w:name w:val="尾注文本 字符"/>
    <w:basedOn w:val="12"/>
    <w:link w:val="5"/>
    <w:semiHidden/>
    <w:qFormat/>
    <w:uiPriority w:val="99"/>
  </w:style>
  <w:style w:type="character" w:customStyle="1" w:styleId="18">
    <w:name w:val="脚注文本 字符"/>
    <w:basedOn w:val="12"/>
    <w:link w:val="7"/>
    <w:semiHidden/>
    <w:qFormat/>
    <w:uiPriority w:val="99"/>
    <w:rPr>
      <w:sz w:val="18"/>
      <w:szCs w:val="18"/>
    </w:rPr>
  </w:style>
  <w:style w:type="character" w:customStyle="1" w:styleId="19">
    <w:name w:val="正文文本缩进 字符"/>
    <w:basedOn w:val="12"/>
    <w:link w:val="4"/>
    <w:semiHidden/>
    <w:qFormat/>
    <w:uiPriority w:val="99"/>
  </w:style>
  <w:style w:type="character" w:customStyle="1" w:styleId="20">
    <w:name w:val="正文文本首行缩进 2 字符"/>
    <w:basedOn w:val="19"/>
    <w:link w:val="9"/>
    <w:qFormat/>
    <w:uiPriority w:val="99"/>
    <w:rPr>
      <w:rFonts w:ascii="Times New Roman" w:hAnsi="Times New Roman" w:eastAsia="宋体" w:cs="Times New Roman"/>
      <w:b/>
      <w:bCs/>
    </w:rPr>
  </w:style>
  <w:style w:type="character" w:customStyle="1" w:styleId="21">
    <w:name w:val="页脚 字符"/>
    <w:basedOn w:val="12"/>
    <w:link w:val="2"/>
    <w:qFormat/>
    <w:uiPriority w:val="0"/>
    <w:rPr>
      <w:sz w:val="18"/>
    </w:rPr>
  </w:style>
  <w:style w:type="character" w:customStyle="1" w:styleId="22">
    <w:name w:val="标题 1 字符"/>
    <w:basedOn w:val="12"/>
    <w:link w:val="3"/>
    <w:qFormat/>
    <w:uiPriority w:val="0"/>
    <w:rPr>
      <w:b/>
      <w:kern w:val="44"/>
      <w:sz w:val="44"/>
    </w:rPr>
  </w:style>
  <w:style w:type="character" w:customStyle="1" w:styleId="23">
    <w:name w:val="font21"/>
    <w:basedOn w:val="12"/>
    <w:qFormat/>
    <w:uiPriority w:val="0"/>
    <w:rPr>
      <w:rFonts w:hint="eastAsia" w:ascii="宋体" w:hAnsi="宋体" w:eastAsia="宋体" w:cs="宋体"/>
      <w:color w:val="000000"/>
      <w:sz w:val="20"/>
      <w:szCs w:val="20"/>
      <w:u w:val="none"/>
    </w:rPr>
  </w:style>
  <w:style w:type="character" w:customStyle="1" w:styleId="24">
    <w:name w:val="font4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5466</Words>
  <Characters>5489</Characters>
  <Lines>45</Lines>
  <Paragraphs>12</Paragraphs>
  <TotalTime>0</TotalTime>
  <ScaleCrop>false</ScaleCrop>
  <LinksUpToDate>false</LinksUpToDate>
  <CharactersWithSpaces>5530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2022-04-25T03:48:00Z</dcterms:created>
  <dc:creator>Microsoft Office User</dc:creator>
  <cp:lastModifiedBy>liziyuan</cp:lastModifiedBy>
  <cp:lastPrinted>2022-06-14T10:25:00Z</cp:lastPrinted>
  <dcterms:modified xsi:type="dcterms:W3CDTF">2022-06-15T07:22:55Z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5A1CC7B170284281AF022D015ED1FC40</vt:lpwstr>
  </property>
</Properties>
</file>